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B4DA4" w14:textId="5B077312" w:rsidR="00FB4D95" w:rsidRDefault="00000000">
      <w:pPr>
        <w:tabs>
          <w:tab w:val="left" w:pos="6948"/>
        </w:tabs>
        <w:spacing w:after="0" w:line="240" w:lineRule="auto"/>
        <w:ind w:left="1278"/>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Jurnal Sosial Humaniora (</w:t>
      </w:r>
      <w:proofErr w:type="spellStart"/>
      <w:r>
        <w:rPr>
          <w:rFonts w:ascii="Times New Roman" w:eastAsia="Times New Roman" w:hAnsi="Times New Roman" w:cs="Times New Roman"/>
          <w:sz w:val="18"/>
          <w:szCs w:val="18"/>
        </w:rPr>
        <w:t>Silatene</w:t>
      </w:r>
      <w:proofErr w:type="spellEnd"/>
      <w:r>
        <w:rPr>
          <w:rFonts w:ascii="Times New Roman" w:eastAsia="Times New Roman" w:hAnsi="Times New Roman" w:cs="Times New Roman"/>
          <w:sz w:val="18"/>
          <w:szCs w:val="18"/>
        </w:rPr>
        <w:t xml:space="preserve">)                                              </w:t>
      </w:r>
      <w:r w:rsidR="004A4B3A">
        <w:rPr>
          <w:rFonts w:ascii="Times New Roman" w:eastAsia="Times New Roman" w:hAnsi="Times New Roman" w:cs="Times New Roman"/>
          <w:sz w:val="18"/>
          <w:szCs w:val="18"/>
        </w:rPr>
        <w:t>September</w:t>
      </w:r>
      <w:r>
        <w:rPr>
          <w:rFonts w:ascii="Times New Roman" w:eastAsia="Times New Roman" w:hAnsi="Times New Roman" w:cs="Times New Roman"/>
          <w:sz w:val="18"/>
          <w:szCs w:val="18"/>
        </w:rPr>
        <w:t xml:space="preserve"> 202</w:t>
      </w:r>
      <w:r w:rsidR="006136D9">
        <w:rPr>
          <w:rFonts w:ascii="Times New Roman" w:eastAsia="Times New Roman" w:hAnsi="Times New Roman" w:cs="Times New Roman"/>
          <w:sz w:val="18"/>
          <w:szCs w:val="18"/>
        </w:rPr>
        <w:t>6</w:t>
      </w:r>
      <w:r>
        <w:rPr>
          <w:rFonts w:ascii="Times New Roman" w:eastAsia="Times New Roman" w:hAnsi="Times New Roman" w:cs="Times New Roman"/>
          <w:sz w:val="18"/>
          <w:szCs w:val="18"/>
        </w:rPr>
        <w:t>, Vol.</w:t>
      </w:r>
      <w:r w:rsidR="00975F8F">
        <w:rPr>
          <w:rFonts w:ascii="Times New Roman" w:eastAsia="Times New Roman" w:hAnsi="Times New Roman" w:cs="Times New Roman"/>
          <w:sz w:val="18"/>
          <w:szCs w:val="18"/>
        </w:rPr>
        <w:t xml:space="preserve"> 4</w:t>
      </w:r>
      <w:r>
        <w:rPr>
          <w:rFonts w:ascii="Times New Roman" w:eastAsia="Times New Roman" w:hAnsi="Times New Roman" w:cs="Times New Roman"/>
          <w:sz w:val="18"/>
          <w:szCs w:val="18"/>
        </w:rPr>
        <w:t xml:space="preserve">, </w:t>
      </w:r>
      <w:r w:rsidR="00975F8F">
        <w:rPr>
          <w:rFonts w:ascii="Times New Roman" w:eastAsia="Times New Roman" w:hAnsi="Times New Roman" w:cs="Times New Roman"/>
          <w:sz w:val="18"/>
          <w:szCs w:val="18"/>
        </w:rPr>
        <w:t xml:space="preserve">No. </w:t>
      </w:r>
      <w:r>
        <w:rPr>
          <w:noProof/>
        </w:rPr>
        <w:drawing>
          <wp:anchor distT="0" distB="0" distL="114300" distR="114300" simplePos="0" relativeHeight="251658240" behindDoc="0" locked="0" layoutInCell="1" hidden="0" allowOverlap="1" wp14:anchorId="5F7C976B" wp14:editId="49C9DF0E">
            <wp:simplePos x="0" y="0"/>
            <wp:positionH relativeFrom="column">
              <wp:posOffset>-77469</wp:posOffset>
            </wp:positionH>
            <wp:positionV relativeFrom="paragraph">
              <wp:posOffset>-97865</wp:posOffset>
            </wp:positionV>
            <wp:extent cx="1190932" cy="424282"/>
            <wp:effectExtent l="0" t="0" r="0" b="0"/>
            <wp:wrapNone/>
            <wp:docPr id="1208508699"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AI-generated content may be incorrect."/>
                    <pic:cNvPicPr preferRelativeResize="0"/>
                  </pic:nvPicPr>
                  <pic:blipFill>
                    <a:blip r:embed="rId8"/>
                    <a:srcRect/>
                    <a:stretch>
                      <a:fillRect/>
                    </a:stretch>
                  </pic:blipFill>
                  <pic:spPr>
                    <a:xfrm>
                      <a:off x="0" y="0"/>
                      <a:ext cx="1190932" cy="424282"/>
                    </a:xfrm>
                    <a:prstGeom prst="rect">
                      <a:avLst/>
                    </a:prstGeom>
                    <a:ln/>
                  </pic:spPr>
                </pic:pic>
              </a:graphicData>
            </a:graphic>
          </wp:anchor>
        </w:drawing>
      </w:r>
      <w:r w:rsidR="00975F8F">
        <w:rPr>
          <w:rFonts w:ascii="Times New Roman" w:eastAsia="Times New Roman" w:hAnsi="Times New Roman" w:cs="Times New Roman"/>
          <w:sz w:val="18"/>
          <w:szCs w:val="18"/>
        </w:rPr>
        <w:t>2</w:t>
      </w:r>
    </w:p>
    <w:p w14:paraId="606E45E6" w14:textId="4204A824" w:rsidR="00FB4D95" w:rsidRDefault="00000000">
      <w:pPr>
        <w:tabs>
          <w:tab w:val="left" w:pos="6948"/>
        </w:tabs>
        <w:spacing w:after="0" w:line="240" w:lineRule="auto"/>
        <w:ind w:left="1278"/>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E-ISSN 2776-5385                                                                       </w:t>
      </w:r>
      <w:proofErr w:type="spellStart"/>
      <w:r>
        <w:rPr>
          <w:rFonts w:ascii="Times New Roman" w:eastAsia="Times New Roman" w:hAnsi="Times New Roman" w:cs="Times New Roman"/>
          <w:sz w:val="18"/>
          <w:szCs w:val="18"/>
        </w:rPr>
        <w:t>Page</w:t>
      </w:r>
      <w:proofErr w:type="spellEnd"/>
      <w:r>
        <w:rPr>
          <w:rFonts w:ascii="Times New Roman" w:eastAsia="Times New Roman" w:hAnsi="Times New Roman" w:cs="Times New Roman"/>
          <w:sz w:val="18"/>
          <w:szCs w:val="18"/>
        </w:rPr>
        <w:t xml:space="preserve"> : </w:t>
      </w:r>
      <w:r w:rsidR="00F828EB">
        <w:rPr>
          <w:rFonts w:ascii="Times New Roman" w:eastAsia="Times New Roman" w:hAnsi="Times New Roman" w:cs="Times New Roman"/>
          <w:sz w:val="18"/>
          <w:szCs w:val="18"/>
        </w:rPr>
        <w:t>305-</w:t>
      </w:r>
      <w:r w:rsidR="00BA270B">
        <w:rPr>
          <w:rFonts w:ascii="Times New Roman" w:eastAsia="Times New Roman" w:hAnsi="Times New Roman" w:cs="Times New Roman"/>
          <w:sz w:val="18"/>
          <w:szCs w:val="18"/>
        </w:rPr>
        <w:t>320</w:t>
      </w:r>
    </w:p>
    <w:p w14:paraId="017C60AD" w14:textId="77777777" w:rsidR="00FB4D95" w:rsidRDefault="00FB4D95">
      <w:pPr>
        <w:widowControl w:val="0"/>
        <w:pBdr>
          <w:top w:val="nil"/>
          <w:left w:val="nil"/>
          <w:bottom w:val="nil"/>
          <w:right w:val="nil"/>
          <w:between w:val="nil"/>
        </w:pBdr>
        <w:spacing w:before="78" w:after="0" w:line="240" w:lineRule="auto"/>
        <w:rPr>
          <w:rFonts w:ascii="Times New Roman" w:eastAsia="Times New Roman" w:hAnsi="Times New Roman" w:cs="Times New Roman"/>
          <w:color w:val="000000"/>
          <w:sz w:val="28"/>
          <w:szCs w:val="28"/>
        </w:rPr>
      </w:pPr>
    </w:p>
    <w:p w14:paraId="4F29DBB1" w14:textId="72203319" w:rsidR="00FB4D95" w:rsidRPr="00975F8F" w:rsidRDefault="006136D9">
      <w:pPr>
        <w:pStyle w:val="Title"/>
        <w:ind w:left="0"/>
        <w:rPr>
          <w:lang w:val="id-ID"/>
        </w:rPr>
      </w:pPr>
      <w:r w:rsidRPr="00975F8F">
        <w:rPr>
          <w:color w:val="974705"/>
          <w:lang w:val="id-ID"/>
        </w:rPr>
        <w:t>Dari Nilai Budaya Ke Tata Kelola: Institusi Informal dan Ketahanan Energi di Melayu Riau</w:t>
      </w:r>
    </w:p>
    <w:p w14:paraId="13DDE66A" w14:textId="518161DE" w:rsidR="00FB4D95" w:rsidRDefault="00BE412A" w:rsidP="00BE412A">
      <w:pPr>
        <w:spacing w:before="265" w:after="0" w:line="240" w:lineRule="auto"/>
        <w:rPr>
          <w:rFonts w:ascii="Times New Roman" w:eastAsia="Times New Roman" w:hAnsi="Times New Roman" w:cs="Times New Roman"/>
          <w:b/>
          <w:sz w:val="18"/>
          <w:szCs w:val="18"/>
          <w:vertAlign w:val="superscript"/>
        </w:rPr>
      </w:pPr>
      <w:r w:rsidRPr="00BE412A">
        <w:rPr>
          <w:rFonts w:ascii="Times New Roman" w:eastAsia="Times New Roman" w:hAnsi="Times New Roman" w:cs="Times New Roman"/>
          <w:b/>
          <w:sz w:val="18"/>
          <w:szCs w:val="18"/>
        </w:rPr>
        <w:t>Ridho Amboro</w:t>
      </w:r>
      <w:r w:rsidRPr="00BE412A">
        <w:rPr>
          <w:rFonts w:ascii="Times New Roman" w:eastAsia="Times New Roman" w:hAnsi="Times New Roman" w:cs="Times New Roman"/>
          <w:b/>
          <w:sz w:val="18"/>
          <w:szCs w:val="18"/>
          <w:vertAlign w:val="superscript"/>
        </w:rPr>
        <w:t>1</w:t>
      </w:r>
      <w:r w:rsidRPr="00BE412A">
        <w:rPr>
          <w:rFonts w:ascii="Times New Roman" w:eastAsia="Times New Roman" w:hAnsi="Times New Roman" w:cs="Times New Roman"/>
          <w:b/>
          <w:sz w:val="18"/>
          <w:szCs w:val="18"/>
        </w:rPr>
        <w:t>, Hengky Emanuel</w:t>
      </w:r>
      <w:r w:rsidRPr="00BE412A">
        <w:rPr>
          <w:rFonts w:ascii="Times New Roman" w:eastAsia="Times New Roman" w:hAnsi="Times New Roman" w:cs="Times New Roman"/>
          <w:b/>
          <w:sz w:val="18"/>
          <w:szCs w:val="18"/>
          <w:vertAlign w:val="superscript"/>
        </w:rPr>
        <w:t>2</w:t>
      </w:r>
      <w:r w:rsidRPr="00BE412A">
        <w:rPr>
          <w:rFonts w:ascii="Times New Roman" w:eastAsia="Times New Roman" w:hAnsi="Times New Roman" w:cs="Times New Roman"/>
          <w:b/>
          <w:sz w:val="18"/>
          <w:szCs w:val="18"/>
        </w:rPr>
        <w:t>, Rio Artha</w:t>
      </w:r>
      <w:r w:rsidRPr="00BE412A">
        <w:rPr>
          <w:rFonts w:ascii="Times New Roman" w:eastAsia="Times New Roman" w:hAnsi="Times New Roman" w:cs="Times New Roman"/>
          <w:b/>
          <w:sz w:val="18"/>
          <w:szCs w:val="18"/>
          <w:vertAlign w:val="superscript"/>
        </w:rPr>
        <w:t>3</w:t>
      </w:r>
      <w:r w:rsidRPr="00BE412A">
        <w:rPr>
          <w:rFonts w:ascii="Times New Roman" w:eastAsia="Times New Roman" w:hAnsi="Times New Roman" w:cs="Times New Roman"/>
          <w:b/>
          <w:sz w:val="18"/>
          <w:szCs w:val="18"/>
        </w:rPr>
        <w:t>, Daniel Saputra</w:t>
      </w:r>
      <w:r w:rsidRPr="00BE412A">
        <w:rPr>
          <w:rFonts w:ascii="Times New Roman" w:eastAsia="Times New Roman" w:hAnsi="Times New Roman" w:cs="Times New Roman"/>
          <w:b/>
          <w:sz w:val="18"/>
          <w:szCs w:val="18"/>
          <w:vertAlign w:val="superscript"/>
        </w:rPr>
        <w:t>4*</w:t>
      </w:r>
      <w:r w:rsidRPr="00BE412A">
        <w:rPr>
          <w:rFonts w:ascii="Times New Roman" w:eastAsia="Times New Roman" w:hAnsi="Times New Roman" w:cs="Times New Roman"/>
          <w:b/>
          <w:sz w:val="18"/>
          <w:szCs w:val="18"/>
        </w:rPr>
        <w:t>, Kuswiyono</w:t>
      </w:r>
      <w:r w:rsidRPr="00BE412A">
        <w:rPr>
          <w:rFonts w:ascii="Times New Roman" w:eastAsia="Times New Roman" w:hAnsi="Times New Roman" w:cs="Times New Roman"/>
          <w:b/>
          <w:sz w:val="18"/>
          <w:szCs w:val="18"/>
          <w:vertAlign w:val="superscript"/>
        </w:rPr>
        <w:t>5</w:t>
      </w:r>
      <w:r>
        <w:rPr>
          <w:rFonts w:ascii="Times New Roman" w:eastAsia="Times New Roman" w:hAnsi="Times New Roman" w:cs="Times New Roman"/>
          <w:b/>
          <w:sz w:val="18"/>
          <w:szCs w:val="18"/>
        </w:rPr>
        <w:t xml:space="preserve">, </w:t>
      </w:r>
      <w:proofErr w:type="spellStart"/>
      <w:r w:rsidR="00975F8F" w:rsidRPr="00975F8F">
        <w:rPr>
          <w:rFonts w:ascii="Times New Roman" w:eastAsia="Times New Roman" w:hAnsi="Times New Roman" w:cs="Times New Roman"/>
          <w:b/>
          <w:sz w:val="18"/>
          <w:szCs w:val="18"/>
        </w:rPr>
        <w:t>Jorry</w:t>
      </w:r>
      <w:proofErr w:type="spellEnd"/>
      <w:r w:rsidR="00975F8F" w:rsidRPr="00975F8F">
        <w:rPr>
          <w:rFonts w:ascii="Times New Roman" w:eastAsia="Times New Roman" w:hAnsi="Times New Roman" w:cs="Times New Roman"/>
          <w:b/>
          <w:sz w:val="18"/>
          <w:szCs w:val="18"/>
        </w:rPr>
        <w:t xml:space="preserve"> S. Koloay</w:t>
      </w:r>
      <w:r w:rsidR="00975F8F" w:rsidRPr="00BE412A">
        <w:rPr>
          <w:rFonts w:ascii="Times New Roman" w:eastAsia="Times New Roman" w:hAnsi="Times New Roman" w:cs="Times New Roman"/>
          <w:b/>
          <w:sz w:val="18"/>
          <w:szCs w:val="18"/>
          <w:vertAlign w:val="superscript"/>
        </w:rPr>
        <w:t>6</w:t>
      </w:r>
      <w:r w:rsidR="00975F8F">
        <w:rPr>
          <w:rFonts w:ascii="Times New Roman" w:eastAsia="Times New Roman" w:hAnsi="Times New Roman" w:cs="Times New Roman"/>
          <w:b/>
          <w:sz w:val="18"/>
          <w:szCs w:val="18"/>
        </w:rPr>
        <w:t xml:space="preserve">, </w:t>
      </w:r>
      <w:r w:rsidRPr="00BE412A">
        <w:rPr>
          <w:rFonts w:ascii="Times New Roman" w:eastAsia="Times New Roman" w:hAnsi="Times New Roman" w:cs="Times New Roman"/>
          <w:b/>
          <w:sz w:val="18"/>
          <w:szCs w:val="18"/>
        </w:rPr>
        <w:t>Handoko Ivan Haryanto</w:t>
      </w:r>
      <w:r w:rsidR="00975F8F">
        <w:rPr>
          <w:rFonts w:ascii="Times New Roman" w:eastAsia="Times New Roman" w:hAnsi="Times New Roman" w:cs="Times New Roman"/>
          <w:b/>
          <w:sz w:val="18"/>
          <w:szCs w:val="18"/>
          <w:vertAlign w:val="superscript"/>
        </w:rPr>
        <w:t>7</w:t>
      </w:r>
      <w:r w:rsidRPr="00BE412A">
        <w:rPr>
          <w:rFonts w:ascii="Times New Roman" w:eastAsia="Times New Roman" w:hAnsi="Times New Roman" w:cs="Times New Roman"/>
          <w:b/>
          <w:sz w:val="18"/>
          <w:szCs w:val="18"/>
        </w:rPr>
        <w:t>, Komarudin</w:t>
      </w:r>
      <w:r w:rsidR="00975F8F">
        <w:rPr>
          <w:rFonts w:ascii="Times New Roman" w:eastAsia="Times New Roman" w:hAnsi="Times New Roman" w:cs="Times New Roman"/>
          <w:b/>
          <w:sz w:val="18"/>
          <w:szCs w:val="18"/>
          <w:vertAlign w:val="superscript"/>
        </w:rPr>
        <w:t>8</w:t>
      </w:r>
      <w:r w:rsidRPr="00BE412A">
        <w:rPr>
          <w:rFonts w:ascii="Times New Roman" w:eastAsia="Times New Roman" w:hAnsi="Times New Roman" w:cs="Times New Roman"/>
          <w:b/>
          <w:sz w:val="18"/>
          <w:szCs w:val="18"/>
        </w:rPr>
        <w:t>, Yanto S. Manurung</w:t>
      </w:r>
      <w:r w:rsidR="00975F8F">
        <w:rPr>
          <w:rFonts w:ascii="Times New Roman" w:eastAsia="Times New Roman" w:hAnsi="Times New Roman" w:cs="Times New Roman"/>
          <w:b/>
          <w:sz w:val="18"/>
          <w:szCs w:val="18"/>
          <w:vertAlign w:val="superscript"/>
        </w:rPr>
        <w:t>9</w:t>
      </w:r>
      <w:r w:rsidRPr="00BE412A">
        <w:rPr>
          <w:rFonts w:ascii="Times New Roman" w:eastAsia="Times New Roman" w:hAnsi="Times New Roman" w:cs="Times New Roman"/>
          <w:b/>
          <w:sz w:val="18"/>
          <w:szCs w:val="18"/>
        </w:rPr>
        <w:t xml:space="preserve">, </w:t>
      </w:r>
      <w:proofErr w:type="spellStart"/>
      <w:r w:rsidRPr="00BE412A">
        <w:rPr>
          <w:rFonts w:ascii="Times New Roman" w:eastAsia="Times New Roman" w:hAnsi="Times New Roman" w:cs="Times New Roman"/>
          <w:b/>
          <w:sz w:val="18"/>
          <w:szCs w:val="18"/>
        </w:rPr>
        <w:t>Jakop</w:t>
      </w:r>
      <w:proofErr w:type="spellEnd"/>
      <w:r w:rsidRPr="00BE412A">
        <w:rPr>
          <w:rFonts w:ascii="Times New Roman" w:eastAsia="Times New Roman" w:hAnsi="Times New Roman" w:cs="Times New Roman"/>
          <w:b/>
          <w:sz w:val="18"/>
          <w:szCs w:val="18"/>
        </w:rPr>
        <w:t xml:space="preserve"> Dwi Waluyo</w:t>
      </w:r>
      <w:r w:rsidR="00975F8F">
        <w:rPr>
          <w:rFonts w:ascii="Times New Roman" w:eastAsia="Times New Roman" w:hAnsi="Times New Roman" w:cs="Times New Roman"/>
          <w:b/>
          <w:sz w:val="18"/>
          <w:szCs w:val="18"/>
          <w:vertAlign w:val="superscript"/>
        </w:rPr>
        <w:t>10</w:t>
      </w:r>
      <w:r w:rsidRPr="00BE412A">
        <w:rPr>
          <w:rFonts w:ascii="Times New Roman" w:eastAsia="Times New Roman" w:hAnsi="Times New Roman" w:cs="Times New Roman"/>
          <w:b/>
          <w:sz w:val="18"/>
          <w:szCs w:val="18"/>
        </w:rPr>
        <w:t>, Andi Ersanto</w:t>
      </w:r>
      <w:r w:rsidRPr="00BE412A">
        <w:rPr>
          <w:rFonts w:ascii="Times New Roman" w:eastAsia="Times New Roman" w:hAnsi="Times New Roman" w:cs="Times New Roman"/>
          <w:b/>
          <w:sz w:val="18"/>
          <w:szCs w:val="18"/>
          <w:vertAlign w:val="superscript"/>
        </w:rPr>
        <w:t>1</w:t>
      </w:r>
      <w:r w:rsidR="00975F8F">
        <w:rPr>
          <w:rFonts w:ascii="Times New Roman" w:eastAsia="Times New Roman" w:hAnsi="Times New Roman" w:cs="Times New Roman"/>
          <w:b/>
          <w:sz w:val="18"/>
          <w:szCs w:val="18"/>
          <w:vertAlign w:val="superscript"/>
        </w:rPr>
        <w:t>1</w:t>
      </w:r>
      <w:r w:rsidRPr="00BE412A">
        <w:rPr>
          <w:rFonts w:ascii="Times New Roman" w:eastAsia="Times New Roman" w:hAnsi="Times New Roman" w:cs="Times New Roman"/>
          <w:b/>
          <w:sz w:val="18"/>
          <w:szCs w:val="18"/>
        </w:rPr>
        <w:t xml:space="preserve">, </w:t>
      </w:r>
      <w:r w:rsidR="00A1117B" w:rsidRPr="00BE412A">
        <w:rPr>
          <w:rFonts w:ascii="Times New Roman" w:eastAsia="Times New Roman" w:hAnsi="Times New Roman" w:cs="Times New Roman"/>
          <w:b/>
          <w:sz w:val="18"/>
          <w:szCs w:val="18"/>
        </w:rPr>
        <w:t xml:space="preserve">Muhammad </w:t>
      </w:r>
      <w:proofErr w:type="spellStart"/>
      <w:r w:rsidR="00A1117B" w:rsidRPr="00BE412A">
        <w:rPr>
          <w:rFonts w:ascii="Times New Roman" w:eastAsia="Times New Roman" w:hAnsi="Times New Roman" w:cs="Times New Roman"/>
          <w:b/>
          <w:sz w:val="18"/>
          <w:szCs w:val="18"/>
        </w:rPr>
        <w:t>Fahrozi</w:t>
      </w:r>
      <w:proofErr w:type="spellEnd"/>
      <w:r w:rsidR="00A1117B" w:rsidRPr="00BE412A">
        <w:rPr>
          <w:rFonts w:ascii="Times New Roman" w:eastAsia="Times New Roman" w:hAnsi="Times New Roman" w:cs="Times New Roman"/>
          <w:b/>
          <w:sz w:val="18"/>
          <w:szCs w:val="18"/>
        </w:rPr>
        <w:t xml:space="preserve"> Sulaiman</w:t>
      </w:r>
      <w:r w:rsidRPr="00BE412A">
        <w:rPr>
          <w:rFonts w:ascii="Times New Roman" w:eastAsia="Times New Roman" w:hAnsi="Times New Roman" w:cs="Times New Roman"/>
          <w:b/>
          <w:sz w:val="18"/>
          <w:szCs w:val="18"/>
          <w:vertAlign w:val="superscript"/>
        </w:rPr>
        <w:t>1</w:t>
      </w:r>
      <w:r w:rsidR="00975F8F">
        <w:rPr>
          <w:rFonts w:ascii="Times New Roman" w:eastAsia="Times New Roman" w:hAnsi="Times New Roman" w:cs="Times New Roman"/>
          <w:b/>
          <w:sz w:val="18"/>
          <w:szCs w:val="18"/>
          <w:vertAlign w:val="superscript"/>
        </w:rPr>
        <w:t>2</w:t>
      </w:r>
      <w:r>
        <w:rPr>
          <w:rFonts w:ascii="Times New Roman" w:eastAsia="Times New Roman" w:hAnsi="Times New Roman" w:cs="Times New Roman"/>
          <w:b/>
          <w:sz w:val="18"/>
          <w:szCs w:val="18"/>
        </w:rPr>
        <w:t xml:space="preserve">, </w:t>
      </w:r>
      <w:r w:rsidR="00A1117B">
        <w:rPr>
          <w:rFonts w:ascii="Times New Roman" w:eastAsia="Times New Roman" w:hAnsi="Times New Roman" w:cs="Times New Roman"/>
          <w:b/>
          <w:sz w:val="18"/>
          <w:szCs w:val="18"/>
        </w:rPr>
        <w:t xml:space="preserve">Yusa </w:t>
      </w:r>
      <w:proofErr w:type="spellStart"/>
      <w:r w:rsidR="00A1117B" w:rsidRPr="00BE412A">
        <w:rPr>
          <w:rFonts w:ascii="Times New Roman" w:eastAsia="Times New Roman" w:hAnsi="Times New Roman" w:cs="Times New Roman"/>
          <w:b/>
          <w:sz w:val="18"/>
          <w:szCs w:val="18"/>
        </w:rPr>
        <w:t>Djuyandi</w:t>
      </w:r>
      <w:proofErr w:type="spellEnd"/>
      <w:r w:rsidR="00A1117B" w:rsidRPr="00BE412A">
        <w:rPr>
          <w:rFonts w:ascii="Times New Roman" w:eastAsia="Times New Roman" w:hAnsi="Times New Roman" w:cs="Times New Roman"/>
          <w:b/>
          <w:sz w:val="18"/>
          <w:szCs w:val="18"/>
          <w:vertAlign w:val="superscript"/>
        </w:rPr>
        <w:t xml:space="preserve"> </w:t>
      </w:r>
      <w:r w:rsidRPr="00BE412A">
        <w:rPr>
          <w:rFonts w:ascii="Times New Roman" w:eastAsia="Times New Roman" w:hAnsi="Times New Roman" w:cs="Times New Roman"/>
          <w:b/>
          <w:sz w:val="18"/>
          <w:szCs w:val="18"/>
          <w:vertAlign w:val="superscript"/>
        </w:rPr>
        <w:t>1</w:t>
      </w:r>
      <w:r w:rsidR="00975F8F">
        <w:rPr>
          <w:rFonts w:ascii="Times New Roman" w:eastAsia="Times New Roman" w:hAnsi="Times New Roman" w:cs="Times New Roman"/>
          <w:b/>
          <w:sz w:val="18"/>
          <w:szCs w:val="18"/>
          <w:vertAlign w:val="superscript"/>
        </w:rPr>
        <w:t>3</w:t>
      </w:r>
    </w:p>
    <w:p w14:paraId="40D2F2D8" w14:textId="77777777" w:rsidR="00E8567B" w:rsidRDefault="00E8567B" w:rsidP="00E8567B">
      <w:pPr>
        <w:spacing w:after="0" w:line="240" w:lineRule="auto"/>
        <w:rPr>
          <w:rFonts w:ascii="Times New Roman" w:eastAsia="Times New Roman" w:hAnsi="Times New Roman" w:cs="Times New Roman"/>
          <w:b/>
          <w:sz w:val="18"/>
          <w:szCs w:val="18"/>
        </w:rPr>
      </w:pPr>
    </w:p>
    <w:p w14:paraId="73BDC621" w14:textId="2DC03FEF" w:rsidR="00BE412A" w:rsidRPr="006136D9" w:rsidRDefault="00BE412A" w:rsidP="00BE412A">
      <w:pPr>
        <w:spacing w:before="24" w:after="0" w:line="240" w:lineRule="auto"/>
        <w:rPr>
          <w:rFonts w:ascii="Times New Roman" w:eastAsia="Times New Roman" w:hAnsi="Times New Roman" w:cs="Times New Roman"/>
          <w:sz w:val="18"/>
          <w:szCs w:val="18"/>
          <w:vertAlign w:val="superscript"/>
        </w:rPr>
      </w:pPr>
      <w:r w:rsidRPr="006136D9">
        <w:rPr>
          <w:rFonts w:ascii="Times New Roman" w:eastAsia="Times New Roman" w:hAnsi="Times New Roman" w:cs="Times New Roman"/>
          <w:sz w:val="18"/>
          <w:szCs w:val="18"/>
          <w:vertAlign w:val="superscript"/>
        </w:rPr>
        <w:t>1</w:t>
      </w:r>
      <w:r w:rsidR="003B78DF" w:rsidRPr="006136D9">
        <w:rPr>
          <w:rFonts w:ascii="Times New Roman" w:eastAsia="Times New Roman" w:hAnsi="Times New Roman" w:cs="Times New Roman"/>
          <w:sz w:val="18"/>
          <w:szCs w:val="18"/>
          <w:vertAlign w:val="superscript"/>
        </w:rPr>
        <w:t>-</w:t>
      </w:r>
      <w:r w:rsidRPr="006136D9">
        <w:rPr>
          <w:rFonts w:ascii="Times New Roman" w:eastAsia="Times New Roman" w:hAnsi="Times New Roman" w:cs="Times New Roman"/>
          <w:sz w:val="18"/>
          <w:szCs w:val="18"/>
          <w:vertAlign w:val="superscript"/>
        </w:rPr>
        <w:t>1</w:t>
      </w:r>
      <w:r w:rsidR="00A1117B">
        <w:rPr>
          <w:rFonts w:ascii="Times New Roman" w:eastAsia="Times New Roman" w:hAnsi="Times New Roman" w:cs="Times New Roman"/>
          <w:sz w:val="18"/>
          <w:szCs w:val="18"/>
          <w:vertAlign w:val="superscript"/>
        </w:rPr>
        <w:t>2</w:t>
      </w:r>
      <w:r w:rsidRPr="006136D9">
        <w:rPr>
          <w:rFonts w:ascii="Times New Roman" w:eastAsia="Times New Roman" w:hAnsi="Times New Roman" w:cs="Times New Roman"/>
          <w:sz w:val="18"/>
          <w:szCs w:val="18"/>
          <w:vertAlign w:val="superscript"/>
        </w:rPr>
        <w:t xml:space="preserve"> </w:t>
      </w:r>
      <w:r w:rsidRPr="006136D9">
        <w:rPr>
          <w:rFonts w:ascii="Times New Roman" w:eastAsia="Times New Roman" w:hAnsi="Times New Roman" w:cs="Times New Roman"/>
          <w:sz w:val="18"/>
          <w:szCs w:val="18"/>
        </w:rPr>
        <w:t>Sekolah Staf dan Komando Angkatan Udara Republik Indonesia, Bandung, Indonesia</w:t>
      </w:r>
    </w:p>
    <w:p w14:paraId="42DD28DB" w14:textId="006F6558" w:rsidR="00FB4D95" w:rsidRPr="006136D9" w:rsidRDefault="00BE412A" w:rsidP="00BE412A">
      <w:pPr>
        <w:spacing w:before="24" w:after="0" w:line="240" w:lineRule="auto"/>
        <w:rPr>
          <w:rFonts w:ascii="Times New Roman" w:eastAsia="Times New Roman" w:hAnsi="Times New Roman" w:cs="Times New Roman"/>
          <w:sz w:val="18"/>
          <w:szCs w:val="18"/>
        </w:rPr>
      </w:pPr>
      <w:r w:rsidRPr="006136D9">
        <w:rPr>
          <w:rFonts w:ascii="Times New Roman" w:eastAsia="Times New Roman" w:hAnsi="Times New Roman" w:cs="Times New Roman"/>
          <w:sz w:val="18"/>
          <w:szCs w:val="18"/>
          <w:vertAlign w:val="superscript"/>
        </w:rPr>
        <w:t>1</w:t>
      </w:r>
      <w:r w:rsidR="00A1117B">
        <w:rPr>
          <w:rFonts w:ascii="Times New Roman" w:eastAsia="Times New Roman" w:hAnsi="Times New Roman" w:cs="Times New Roman"/>
          <w:sz w:val="18"/>
          <w:szCs w:val="18"/>
          <w:vertAlign w:val="superscript"/>
        </w:rPr>
        <w:t xml:space="preserve">3 </w:t>
      </w:r>
      <w:r w:rsidRPr="006136D9">
        <w:rPr>
          <w:rFonts w:ascii="Times New Roman" w:eastAsia="Times New Roman" w:hAnsi="Times New Roman" w:cs="Times New Roman"/>
          <w:sz w:val="18"/>
          <w:szCs w:val="18"/>
          <w:vertAlign w:val="superscript"/>
        </w:rPr>
        <w:t xml:space="preserve"> </w:t>
      </w:r>
      <w:r w:rsidRPr="006136D9">
        <w:rPr>
          <w:rFonts w:ascii="Times New Roman" w:eastAsia="Times New Roman" w:hAnsi="Times New Roman" w:cs="Times New Roman"/>
          <w:sz w:val="18"/>
          <w:szCs w:val="18"/>
        </w:rPr>
        <w:t xml:space="preserve">Departemen Ilmu Politik, Universitas </w:t>
      </w:r>
      <w:proofErr w:type="spellStart"/>
      <w:r w:rsidRPr="006136D9">
        <w:rPr>
          <w:rFonts w:ascii="Times New Roman" w:eastAsia="Times New Roman" w:hAnsi="Times New Roman" w:cs="Times New Roman"/>
          <w:sz w:val="18"/>
          <w:szCs w:val="18"/>
        </w:rPr>
        <w:t>Padjadjaran</w:t>
      </w:r>
      <w:proofErr w:type="spellEnd"/>
      <w:r w:rsidRPr="006136D9">
        <w:rPr>
          <w:rFonts w:ascii="Times New Roman" w:eastAsia="Times New Roman" w:hAnsi="Times New Roman" w:cs="Times New Roman"/>
          <w:sz w:val="18"/>
          <w:szCs w:val="18"/>
        </w:rPr>
        <w:t>, Bandung, Indonesia</w:t>
      </w:r>
    </w:p>
    <w:p w14:paraId="397523D0" w14:textId="0AF056C1" w:rsidR="00FB4D95" w:rsidRPr="006136D9" w:rsidRDefault="00000000">
      <w:pPr>
        <w:spacing w:after="0" w:line="240" w:lineRule="auto"/>
        <w:rPr>
          <w:rFonts w:ascii="Times New Roman" w:eastAsia="Times New Roman" w:hAnsi="Times New Roman" w:cs="Times New Roman"/>
          <w:sz w:val="14"/>
          <w:szCs w:val="14"/>
        </w:rPr>
      </w:pPr>
      <w:r>
        <w:rPr>
          <w:rFonts w:ascii="Times New Roman" w:eastAsia="Times New Roman" w:hAnsi="Times New Roman" w:cs="Times New Roman"/>
          <w:i/>
          <w:sz w:val="18"/>
          <w:szCs w:val="18"/>
        </w:rPr>
        <w:t>e-</w:t>
      </w:r>
      <w:proofErr w:type="spellStart"/>
      <w:r>
        <w:rPr>
          <w:rFonts w:ascii="Times New Roman" w:eastAsia="Times New Roman" w:hAnsi="Times New Roman" w:cs="Times New Roman"/>
          <w:i/>
          <w:sz w:val="18"/>
          <w:szCs w:val="18"/>
        </w:rPr>
        <w:t>mail</w:t>
      </w:r>
      <w:proofErr w:type="spellEnd"/>
      <w:r>
        <w:rPr>
          <w:rFonts w:ascii="Times New Roman" w:eastAsia="Times New Roman" w:hAnsi="Times New Roman" w:cs="Times New Roman"/>
          <w:sz w:val="18"/>
          <w:szCs w:val="18"/>
        </w:rPr>
        <w:t xml:space="preserve">: </w:t>
      </w:r>
      <w:r>
        <w:rPr>
          <w:rFonts w:ascii="Times New Roman" w:eastAsia="Times New Roman" w:hAnsi="Times New Roman" w:cs="Times New Roman"/>
          <w:sz w:val="30"/>
          <w:szCs w:val="30"/>
          <w:vertAlign w:val="superscript"/>
        </w:rPr>
        <w:t>*</w:t>
      </w:r>
      <w:r w:rsidR="00BE412A" w:rsidRPr="006136D9">
        <w:rPr>
          <w:rFonts w:ascii="Times New Roman" w:hAnsi="Times New Roman" w:cs="Times New Roman"/>
          <w:sz w:val="18"/>
          <w:szCs w:val="18"/>
        </w:rPr>
        <w:t>drdas888@gmail.com</w:t>
      </w:r>
      <w:r w:rsidRPr="006136D9">
        <w:rPr>
          <w:rFonts w:ascii="Times New Roman" w:eastAsia="Times New Roman" w:hAnsi="Times New Roman" w:cs="Times New Roman"/>
          <w:sz w:val="14"/>
          <w:szCs w:val="14"/>
        </w:rPr>
        <w:t xml:space="preserve"> </w:t>
      </w:r>
    </w:p>
    <w:p w14:paraId="5DEBBCA0" w14:textId="77777777" w:rsidR="00FB4D95" w:rsidRDefault="00FB4D95">
      <w:pPr>
        <w:widowControl w:val="0"/>
        <w:pBdr>
          <w:top w:val="nil"/>
          <w:left w:val="nil"/>
          <w:bottom w:val="nil"/>
          <w:right w:val="nil"/>
          <w:between w:val="nil"/>
        </w:pBdr>
        <w:spacing w:before="31" w:after="0" w:line="240" w:lineRule="auto"/>
        <w:rPr>
          <w:rFonts w:ascii="Times New Roman" w:eastAsia="Times New Roman" w:hAnsi="Times New Roman" w:cs="Times New Roman"/>
          <w:color w:val="000000"/>
          <w:sz w:val="20"/>
          <w:szCs w:val="20"/>
        </w:rPr>
      </w:pPr>
    </w:p>
    <w:tbl>
      <w:tblPr>
        <w:tblStyle w:val="a1"/>
        <w:tblW w:w="8550" w:type="dxa"/>
        <w:tblLayout w:type="fixed"/>
        <w:tblLook w:val="0000" w:firstRow="0" w:lastRow="0" w:firstColumn="0" w:lastColumn="0" w:noHBand="0" w:noVBand="0"/>
      </w:tblPr>
      <w:tblGrid>
        <w:gridCol w:w="6873"/>
        <w:gridCol w:w="1677"/>
      </w:tblGrid>
      <w:tr w:rsidR="00FB4D95" w14:paraId="7DC25237" w14:textId="77777777">
        <w:trPr>
          <w:trHeight w:val="311"/>
        </w:trPr>
        <w:tc>
          <w:tcPr>
            <w:tcW w:w="6873" w:type="dxa"/>
            <w:shd w:val="clear" w:color="auto" w:fill="FCE9D9"/>
          </w:tcPr>
          <w:p w14:paraId="37B02CB4" w14:textId="413CE395" w:rsidR="00FB4D95" w:rsidRDefault="00000000">
            <w:pPr>
              <w:widowControl w:val="0"/>
              <w:pBdr>
                <w:top w:val="nil"/>
                <w:left w:val="nil"/>
                <w:bottom w:val="nil"/>
                <w:right w:val="nil"/>
                <w:between w:val="nil"/>
              </w:pBdr>
              <w:spacing w:before="48" w:after="0" w:line="240" w:lineRule="auto"/>
              <w:ind w:right="109"/>
              <w:jc w:val="center"/>
              <w:rPr>
                <w:rFonts w:ascii="Times New Roman" w:eastAsia="Times New Roman" w:hAnsi="Times New Roman" w:cs="Times New Roman"/>
                <w:b/>
                <w:i/>
                <w:color w:val="000000"/>
                <w:sz w:val="18"/>
                <w:szCs w:val="18"/>
              </w:rPr>
            </w:pPr>
            <w:proofErr w:type="spellStart"/>
            <w:r>
              <w:rPr>
                <w:rFonts w:ascii="Times New Roman" w:eastAsia="Times New Roman" w:hAnsi="Times New Roman" w:cs="Times New Roman"/>
                <w:b/>
                <w:color w:val="000000"/>
                <w:sz w:val="18"/>
                <w:szCs w:val="18"/>
              </w:rPr>
              <w:t>Abstract</w:t>
            </w:r>
            <w:proofErr w:type="spellEnd"/>
            <w:r>
              <w:rPr>
                <w:rFonts w:ascii="Times New Roman" w:eastAsia="Times New Roman" w:hAnsi="Times New Roman" w:cs="Times New Roman"/>
                <w:b/>
                <w:color w:val="000000"/>
                <w:sz w:val="18"/>
                <w:szCs w:val="18"/>
              </w:rPr>
              <w:t xml:space="preserve"> / </w:t>
            </w:r>
            <w:r>
              <w:rPr>
                <w:rFonts w:ascii="Times New Roman" w:eastAsia="Times New Roman" w:hAnsi="Times New Roman" w:cs="Times New Roman"/>
                <w:b/>
                <w:i/>
                <w:color w:val="000000"/>
                <w:sz w:val="18"/>
                <w:szCs w:val="18"/>
              </w:rPr>
              <w:t xml:space="preserve">Abstrak </w:t>
            </w:r>
          </w:p>
        </w:tc>
        <w:tc>
          <w:tcPr>
            <w:tcW w:w="1677" w:type="dxa"/>
            <w:shd w:val="clear" w:color="auto" w:fill="FCE9D9"/>
          </w:tcPr>
          <w:p w14:paraId="7CAFC26A" w14:textId="57F3B12E" w:rsidR="00FB4D95" w:rsidRDefault="00000000">
            <w:pPr>
              <w:widowControl w:val="0"/>
              <w:pBdr>
                <w:top w:val="nil"/>
                <w:left w:val="nil"/>
                <w:bottom w:val="nil"/>
                <w:right w:val="nil"/>
                <w:between w:val="nil"/>
              </w:pBdr>
              <w:spacing w:before="48" w:after="0" w:line="240" w:lineRule="auto"/>
              <w:ind w:left="248"/>
              <w:rPr>
                <w:rFonts w:ascii="Times New Roman" w:eastAsia="Times New Roman" w:hAnsi="Times New Roman" w:cs="Times New Roman"/>
                <w:b/>
                <w:i/>
                <w:color w:val="000000"/>
                <w:sz w:val="18"/>
                <w:szCs w:val="18"/>
              </w:rPr>
            </w:pPr>
            <w:proofErr w:type="spellStart"/>
            <w:r>
              <w:rPr>
                <w:rFonts w:ascii="Times New Roman" w:eastAsia="Times New Roman" w:hAnsi="Times New Roman" w:cs="Times New Roman"/>
                <w:b/>
                <w:color w:val="000000"/>
                <w:sz w:val="18"/>
                <w:szCs w:val="18"/>
              </w:rPr>
              <w:t>Keywords</w:t>
            </w:r>
            <w:proofErr w:type="spellEnd"/>
            <w:r>
              <w:rPr>
                <w:rFonts w:ascii="Times New Roman" w:eastAsia="Times New Roman" w:hAnsi="Times New Roman" w:cs="Times New Roman"/>
                <w:b/>
                <w:color w:val="000000"/>
                <w:sz w:val="18"/>
                <w:szCs w:val="18"/>
              </w:rPr>
              <w:t xml:space="preserve"> / </w:t>
            </w:r>
            <w:r>
              <w:rPr>
                <w:rFonts w:ascii="Times New Roman" w:eastAsia="Times New Roman" w:hAnsi="Times New Roman" w:cs="Times New Roman"/>
                <w:b/>
                <w:i/>
                <w:color w:val="000000"/>
                <w:sz w:val="18"/>
                <w:szCs w:val="18"/>
              </w:rPr>
              <w:t xml:space="preserve">Kata kunci </w:t>
            </w:r>
          </w:p>
        </w:tc>
      </w:tr>
      <w:tr w:rsidR="00FB4D95" w14:paraId="52AC2BDE" w14:textId="77777777">
        <w:trPr>
          <w:trHeight w:val="1769"/>
        </w:trPr>
        <w:tc>
          <w:tcPr>
            <w:tcW w:w="6873" w:type="dxa"/>
            <w:shd w:val="clear" w:color="auto" w:fill="FCE9D9"/>
          </w:tcPr>
          <w:p w14:paraId="22D915F9" w14:textId="52370E9E" w:rsidR="00FB4D95" w:rsidRDefault="001303AC">
            <w:pPr>
              <w:widowControl w:val="0"/>
              <w:pBdr>
                <w:top w:val="nil"/>
                <w:left w:val="nil"/>
                <w:bottom w:val="nil"/>
                <w:right w:val="nil"/>
                <w:between w:val="nil"/>
              </w:pBdr>
              <w:spacing w:before="48" w:after="0" w:line="240" w:lineRule="auto"/>
              <w:ind w:left="141" w:right="250"/>
              <w:jc w:val="both"/>
              <w:rPr>
                <w:rFonts w:ascii="Times New Roman" w:eastAsia="Times New Roman" w:hAnsi="Times New Roman" w:cs="Times New Roman"/>
                <w:i/>
                <w:color w:val="000000"/>
                <w:sz w:val="18"/>
                <w:szCs w:val="18"/>
              </w:rPr>
            </w:pPr>
            <w:r w:rsidRPr="001303AC">
              <w:rPr>
                <w:rFonts w:ascii="Times New Roman" w:eastAsia="Times New Roman" w:hAnsi="Times New Roman" w:cs="Times New Roman"/>
                <w:i/>
                <w:color w:val="000000"/>
                <w:sz w:val="18"/>
                <w:szCs w:val="18"/>
              </w:rPr>
              <w:t xml:space="preserve">Energy </w:t>
            </w:r>
            <w:proofErr w:type="spellStart"/>
            <w:r w:rsidRPr="001303AC">
              <w:rPr>
                <w:rFonts w:ascii="Times New Roman" w:eastAsia="Times New Roman" w:hAnsi="Times New Roman" w:cs="Times New Roman"/>
                <w:i/>
                <w:color w:val="000000"/>
                <w:sz w:val="18"/>
                <w:szCs w:val="18"/>
              </w:rPr>
              <w:t>security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is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commonly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assessed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through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four</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framework</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of</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availability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accessibility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affordability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acceptability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which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describes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properties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of</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energy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systems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but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says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little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about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social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values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that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shape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how</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resources</w:t>
            </w:r>
            <w:proofErr w:type="spellEnd"/>
            <w:r w:rsidRPr="001303AC">
              <w:rPr>
                <w:rFonts w:ascii="Times New Roman" w:eastAsia="Times New Roman" w:hAnsi="Times New Roman" w:cs="Times New Roman"/>
                <w:i/>
                <w:color w:val="000000"/>
                <w:sz w:val="18"/>
                <w:szCs w:val="18"/>
              </w:rPr>
              <w:t xml:space="preserve"> are </w:t>
            </w:r>
            <w:proofErr w:type="spellStart"/>
            <w:r w:rsidRPr="001303AC">
              <w:rPr>
                <w:rFonts w:ascii="Times New Roman" w:eastAsia="Times New Roman" w:hAnsi="Times New Roman" w:cs="Times New Roman"/>
                <w:i/>
                <w:color w:val="000000"/>
                <w:sz w:val="18"/>
                <w:szCs w:val="18"/>
              </w:rPr>
              <w:t>governed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This</w:t>
            </w:r>
            <w:proofErr w:type="spellEnd"/>
            <w:r w:rsidRPr="001303AC">
              <w:rPr>
                <w:rFonts w:ascii="Times New Roman" w:eastAsia="Times New Roman" w:hAnsi="Times New Roman" w:cs="Times New Roman"/>
                <w:i/>
                <w:color w:val="000000"/>
                <w:sz w:val="18"/>
                <w:szCs w:val="18"/>
              </w:rPr>
              <w:t xml:space="preserve"> study </w:t>
            </w:r>
            <w:proofErr w:type="spellStart"/>
            <w:r w:rsidRPr="001303AC">
              <w:rPr>
                <w:rFonts w:ascii="Times New Roman" w:eastAsia="Times New Roman" w:hAnsi="Times New Roman" w:cs="Times New Roman"/>
                <w:i/>
                <w:color w:val="000000"/>
                <w:sz w:val="18"/>
                <w:szCs w:val="18"/>
              </w:rPr>
              <w:t>examines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how</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struggle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values</w:t>
            </w:r>
            <w:proofErr w:type="spellEnd"/>
            <w:r w:rsidRPr="001303AC">
              <w:rPr>
                <w:rFonts w:ascii="Times New Roman" w:eastAsia="Times New Roman" w:hAnsi="Times New Roman" w:cs="Times New Roman"/>
                <w:i/>
                <w:color w:val="000000"/>
                <w:sz w:val="18"/>
                <w:szCs w:val="18"/>
              </w:rPr>
              <w:t xml:space="preserve"> (nilai kejuangan) </w:t>
            </w:r>
            <w:proofErr w:type="spellStart"/>
            <w:r w:rsidRPr="001303AC">
              <w:rPr>
                <w:rFonts w:ascii="Times New Roman" w:eastAsia="Times New Roman" w:hAnsi="Times New Roman" w:cs="Times New Roman"/>
                <w:i/>
                <w:color w:val="000000"/>
                <w:sz w:val="18"/>
                <w:szCs w:val="18"/>
              </w:rPr>
              <w:t>embedded</w:t>
            </w:r>
            <w:proofErr w:type="spellEnd"/>
            <w:r w:rsidRPr="001303AC">
              <w:rPr>
                <w:rFonts w:ascii="Times New Roman" w:eastAsia="Times New Roman" w:hAnsi="Times New Roman" w:cs="Times New Roman"/>
                <w:i/>
                <w:color w:val="000000"/>
                <w:sz w:val="18"/>
                <w:szCs w:val="18"/>
              </w:rPr>
              <w:t xml:space="preserve"> in Riau </w:t>
            </w:r>
            <w:proofErr w:type="spellStart"/>
            <w:r w:rsidRPr="001303AC">
              <w:rPr>
                <w:rFonts w:ascii="Times New Roman" w:eastAsia="Times New Roman" w:hAnsi="Times New Roman" w:cs="Times New Roman"/>
                <w:i/>
                <w:color w:val="000000"/>
                <w:sz w:val="18"/>
                <w:szCs w:val="18"/>
              </w:rPr>
              <w:t>Malay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culture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relate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to</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energy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resilience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through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three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mechanisms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norm</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transmission</w:t>
            </w:r>
            <w:proofErr w:type="spellEnd"/>
            <w:r w:rsidRPr="001303AC">
              <w:rPr>
                <w:rFonts w:ascii="Times New Roman" w:eastAsia="Times New Roman" w:hAnsi="Times New Roman" w:cs="Times New Roman"/>
                <w:i/>
                <w:color w:val="000000"/>
                <w:sz w:val="18"/>
                <w:szCs w:val="18"/>
              </w:rPr>
              <w:t xml:space="preserve">, informal </w:t>
            </w:r>
            <w:proofErr w:type="spellStart"/>
            <w:r w:rsidRPr="001303AC">
              <w:rPr>
                <w:rFonts w:ascii="Times New Roman" w:eastAsia="Times New Roman" w:hAnsi="Times New Roman" w:cs="Times New Roman"/>
                <w:i/>
                <w:color w:val="000000"/>
                <w:sz w:val="18"/>
                <w:szCs w:val="18"/>
              </w:rPr>
              <w:t>institutionalisation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governance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practice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Using</w:t>
            </w:r>
            <w:proofErr w:type="spellEnd"/>
            <w:r w:rsidRPr="001303AC">
              <w:rPr>
                <w:rFonts w:ascii="Times New Roman" w:eastAsia="Times New Roman" w:hAnsi="Times New Roman" w:cs="Times New Roman"/>
                <w:i/>
                <w:color w:val="000000"/>
                <w:sz w:val="18"/>
                <w:szCs w:val="18"/>
              </w:rPr>
              <w:t xml:space="preserve"> a </w:t>
            </w:r>
            <w:proofErr w:type="spellStart"/>
            <w:r w:rsidRPr="001303AC">
              <w:rPr>
                <w:rFonts w:ascii="Times New Roman" w:eastAsia="Times New Roman" w:hAnsi="Times New Roman" w:cs="Times New Roman"/>
                <w:i/>
                <w:color w:val="000000"/>
                <w:sz w:val="18"/>
                <w:szCs w:val="18"/>
              </w:rPr>
              <w:t>qualitative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case</w:t>
            </w:r>
            <w:proofErr w:type="spellEnd"/>
            <w:r w:rsidRPr="001303AC">
              <w:rPr>
                <w:rFonts w:ascii="Times New Roman" w:eastAsia="Times New Roman" w:hAnsi="Times New Roman" w:cs="Times New Roman"/>
                <w:i/>
                <w:color w:val="000000"/>
                <w:sz w:val="18"/>
                <w:szCs w:val="18"/>
              </w:rPr>
              <w:t xml:space="preserve"> study, in-</w:t>
            </w:r>
            <w:proofErr w:type="spellStart"/>
            <w:r w:rsidRPr="001303AC">
              <w:rPr>
                <w:rFonts w:ascii="Times New Roman" w:eastAsia="Times New Roman" w:hAnsi="Times New Roman" w:cs="Times New Roman"/>
                <w:i/>
                <w:color w:val="000000"/>
                <w:sz w:val="18"/>
                <w:szCs w:val="18"/>
              </w:rPr>
              <w:t>depth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interviews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with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customary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leaders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academics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local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government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officials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energy-sector</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stakeholders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field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observations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documents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from</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Riau </w:t>
            </w:r>
            <w:proofErr w:type="spellStart"/>
            <w:r w:rsidRPr="001303AC">
              <w:rPr>
                <w:rFonts w:ascii="Times New Roman" w:eastAsia="Times New Roman" w:hAnsi="Times New Roman" w:cs="Times New Roman"/>
                <w:i/>
                <w:color w:val="000000"/>
                <w:sz w:val="18"/>
                <w:szCs w:val="18"/>
              </w:rPr>
              <w:t>Malay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Customary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Institution</w:t>
            </w:r>
            <w:proofErr w:type="spellEnd"/>
            <w:r w:rsidRPr="001303AC">
              <w:rPr>
                <w:rFonts w:ascii="Times New Roman" w:eastAsia="Times New Roman" w:hAnsi="Times New Roman" w:cs="Times New Roman"/>
                <w:i/>
                <w:color w:val="000000"/>
                <w:sz w:val="18"/>
                <w:szCs w:val="18"/>
              </w:rPr>
              <w:t xml:space="preserve"> (LAMR),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Siak Sri Indrapura </w:t>
            </w:r>
            <w:proofErr w:type="spellStart"/>
            <w:r w:rsidRPr="001303AC">
              <w:rPr>
                <w:rFonts w:ascii="Times New Roman" w:eastAsia="Times New Roman" w:hAnsi="Times New Roman" w:cs="Times New Roman"/>
                <w:i/>
                <w:color w:val="000000"/>
                <w:sz w:val="18"/>
                <w:szCs w:val="18"/>
              </w:rPr>
              <w:t>Palace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Sang Nila Utama Museu</w:t>
            </w:r>
            <w:r w:rsidR="00084FED">
              <w:rPr>
                <w:rFonts w:ascii="Times New Roman" w:eastAsia="Times New Roman" w:hAnsi="Times New Roman" w:cs="Times New Roman"/>
                <w:i/>
                <w:color w:val="000000"/>
                <w:sz w:val="18"/>
                <w:szCs w:val="18"/>
              </w:rPr>
              <w:t>m.</w:t>
            </w:r>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Thematic</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analysis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shows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that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trustworthiness</w:t>
            </w:r>
            <w:proofErr w:type="spellEnd"/>
            <w:r w:rsidRPr="001303AC">
              <w:rPr>
                <w:rFonts w:ascii="Times New Roman" w:eastAsia="Times New Roman" w:hAnsi="Times New Roman" w:cs="Times New Roman"/>
                <w:i/>
                <w:color w:val="000000"/>
                <w:sz w:val="18"/>
                <w:szCs w:val="18"/>
              </w:rPr>
              <w:t xml:space="preserve"> (amanah), </w:t>
            </w:r>
            <w:proofErr w:type="spellStart"/>
            <w:r w:rsidRPr="001303AC">
              <w:rPr>
                <w:rFonts w:ascii="Times New Roman" w:eastAsia="Times New Roman" w:hAnsi="Times New Roman" w:cs="Times New Roman"/>
                <w:i/>
                <w:color w:val="000000"/>
                <w:sz w:val="18"/>
                <w:szCs w:val="18"/>
              </w:rPr>
              <w:t>integrity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deliberation</w:t>
            </w:r>
            <w:proofErr w:type="spellEnd"/>
            <w:r w:rsidRPr="001303AC">
              <w:rPr>
                <w:rFonts w:ascii="Times New Roman" w:eastAsia="Times New Roman" w:hAnsi="Times New Roman" w:cs="Times New Roman"/>
                <w:i/>
                <w:color w:val="000000"/>
                <w:sz w:val="18"/>
                <w:szCs w:val="18"/>
              </w:rPr>
              <w:t xml:space="preserve"> (musyawarah), </w:t>
            </w:r>
            <w:proofErr w:type="spellStart"/>
            <w:r w:rsidRPr="001303AC">
              <w:rPr>
                <w:rFonts w:ascii="Times New Roman" w:eastAsia="Times New Roman" w:hAnsi="Times New Roman" w:cs="Times New Roman"/>
                <w:i/>
                <w:color w:val="000000"/>
                <w:sz w:val="18"/>
                <w:szCs w:val="18"/>
              </w:rPr>
              <w:t>mutual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aid</w:t>
            </w:r>
            <w:proofErr w:type="spellEnd"/>
            <w:r w:rsidRPr="001303AC">
              <w:rPr>
                <w:rFonts w:ascii="Times New Roman" w:eastAsia="Times New Roman" w:hAnsi="Times New Roman" w:cs="Times New Roman"/>
                <w:i/>
                <w:color w:val="000000"/>
                <w:sz w:val="18"/>
                <w:szCs w:val="18"/>
              </w:rPr>
              <w:t xml:space="preserve"> (gotong royong), </w:t>
            </w:r>
            <w:proofErr w:type="spellStart"/>
            <w:r w:rsidRPr="001303AC">
              <w:rPr>
                <w:rFonts w:ascii="Times New Roman" w:eastAsia="Times New Roman" w:hAnsi="Times New Roman" w:cs="Times New Roman"/>
                <w:i/>
                <w:color w:val="000000"/>
                <w:sz w:val="18"/>
                <w:szCs w:val="18"/>
              </w:rPr>
              <w:t>responsibility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environmental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stewardship</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self-sacrifice</w:t>
            </w:r>
            <w:proofErr w:type="spellEnd"/>
            <w:r w:rsidRPr="001303AC">
              <w:rPr>
                <w:rFonts w:ascii="Times New Roman" w:eastAsia="Times New Roman" w:hAnsi="Times New Roman" w:cs="Times New Roman"/>
                <w:i/>
                <w:color w:val="000000"/>
                <w:sz w:val="18"/>
                <w:szCs w:val="18"/>
              </w:rPr>
              <w:t xml:space="preserve"> are </w:t>
            </w:r>
            <w:proofErr w:type="spellStart"/>
            <w:r w:rsidRPr="001303AC">
              <w:rPr>
                <w:rFonts w:ascii="Times New Roman" w:eastAsia="Times New Roman" w:hAnsi="Times New Roman" w:cs="Times New Roman"/>
                <w:i/>
                <w:color w:val="000000"/>
                <w:sz w:val="18"/>
                <w:szCs w:val="18"/>
              </w:rPr>
              <w:t>transmitted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through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customary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guidance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historical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exemplars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museum </w:t>
            </w:r>
            <w:proofErr w:type="spellStart"/>
            <w:r w:rsidRPr="001303AC">
              <w:rPr>
                <w:rFonts w:ascii="Times New Roman" w:eastAsia="Times New Roman" w:hAnsi="Times New Roman" w:cs="Times New Roman"/>
                <w:i/>
                <w:color w:val="000000"/>
                <w:sz w:val="18"/>
                <w:szCs w:val="18"/>
              </w:rPr>
              <w:t>education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are </w:t>
            </w:r>
            <w:proofErr w:type="spellStart"/>
            <w:r w:rsidRPr="001303AC">
              <w:rPr>
                <w:rFonts w:ascii="Times New Roman" w:eastAsia="Times New Roman" w:hAnsi="Times New Roman" w:cs="Times New Roman"/>
                <w:i/>
                <w:color w:val="000000"/>
                <w:sz w:val="18"/>
                <w:szCs w:val="18"/>
              </w:rPr>
              <w:t>interpreted</w:t>
            </w:r>
            <w:proofErr w:type="spellEnd"/>
            <w:r w:rsidRPr="001303AC">
              <w:rPr>
                <w:rFonts w:ascii="Times New Roman" w:eastAsia="Times New Roman" w:hAnsi="Times New Roman" w:cs="Times New Roman"/>
                <w:i/>
                <w:color w:val="000000"/>
                <w:sz w:val="18"/>
                <w:szCs w:val="18"/>
              </w:rPr>
              <w:t xml:space="preserve"> as informal </w:t>
            </w:r>
            <w:proofErr w:type="spellStart"/>
            <w:r w:rsidRPr="001303AC">
              <w:rPr>
                <w:rFonts w:ascii="Times New Roman" w:eastAsia="Times New Roman" w:hAnsi="Times New Roman" w:cs="Times New Roman"/>
                <w:i/>
                <w:color w:val="000000"/>
                <w:sz w:val="18"/>
                <w:szCs w:val="18"/>
              </w:rPr>
              <w:t>behavioural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expectations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relevant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to</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resource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governance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This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transmission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however</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is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weakened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by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limited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regeneration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of</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customary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leaders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declining</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youth</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engagement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and</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competition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from</w:t>
            </w:r>
            <w:proofErr w:type="spellEnd"/>
            <w:r w:rsidRPr="001303AC">
              <w:rPr>
                <w:rFonts w:ascii="Times New Roman" w:eastAsia="Times New Roman" w:hAnsi="Times New Roman" w:cs="Times New Roman"/>
                <w:i/>
                <w:color w:val="000000"/>
                <w:sz w:val="18"/>
                <w:szCs w:val="18"/>
              </w:rPr>
              <w:t xml:space="preserve"> digital media. The study </w:t>
            </w:r>
            <w:proofErr w:type="spellStart"/>
            <w:r w:rsidRPr="001303AC">
              <w:rPr>
                <w:rFonts w:ascii="Times New Roman" w:eastAsia="Times New Roman" w:hAnsi="Times New Roman" w:cs="Times New Roman"/>
                <w:i/>
                <w:color w:val="000000"/>
                <w:sz w:val="18"/>
                <w:szCs w:val="18"/>
              </w:rPr>
              <w:t>argues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that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energy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resilience</w:t>
            </w:r>
            <w:proofErr w:type="spellEnd"/>
            <w:r w:rsidRPr="001303AC">
              <w:rPr>
                <w:rFonts w:ascii="Times New Roman" w:eastAsia="Times New Roman" w:hAnsi="Times New Roman" w:cs="Times New Roman"/>
                <w:i/>
                <w:color w:val="000000"/>
                <w:sz w:val="18"/>
                <w:szCs w:val="18"/>
              </w:rPr>
              <w:t xml:space="preserve"> has a </w:t>
            </w:r>
            <w:proofErr w:type="spellStart"/>
            <w:r w:rsidRPr="001303AC">
              <w:rPr>
                <w:rFonts w:ascii="Times New Roman" w:eastAsia="Times New Roman" w:hAnsi="Times New Roman" w:cs="Times New Roman"/>
                <w:i/>
                <w:color w:val="000000"/>
                <w:sz w:val="18"/>
                <w:szCs w:val="18"/>
              </w:rPr>
              <w:t>normative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dimension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that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depends</w:t>
            </w:r>
            <w:proofErr w:type="spellEnd"/>
            <w:r w:rsidRPr="001303AC">
              <w:rPr>
                <w:rFonts w:ascii="Times New Roman" w:eastAsia="Times New Roman" w:hAnsi="Times New Roman" w:cs="Times New Roman"/>
                <w:i/>
                <w:color w:val="000000"/>
                <w:sz w:val="18"/>
                <w:szCs w:val="18"/>
              </w:rPr>
              <w:t xml:space="preserve"> not </w:t>
            </w:r>
            <w:proofErr w:type="spellStart"/>
            <w:r w:rsidRPr="001303AC">
              <w:rPr>
                <w:rFonts w:ascii="Times New Roman" w:eastAsia="Times New Roman" w:hAnsi="Times New Roman" w:cs="Times New Roman"/>
                <w:i/>
                <w:color w:val="000000"/>
                <w:sz w:val="18"/>
                <w:szCs w:val="18"/>
              </w:rPr>
              <w:t>merely</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existence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of</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cultural</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values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but</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on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whether</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institutions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can</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reproduce</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them</w:t>
            </w:r>
            <w:proofErr w:type="spellEnd"/>
            <w:r w:rsidRPr="001303AC">
              <w:rPr>
                <w:rFonts w:ascii="Times New Roman" w:eastAsia="Times New Roman" w:hAnsi="Times New Roman" w:cs="Times New Roman"/>
                <w:i/>
                <w:color w:val="000000"/>
                <w:sz w:val="18"/>
                <w:szCs w:val="18"/>
              </w:rPr>
              <w:t xml:space="preserve"> as </w:t>
            </w:r>
            <w:proofErr w:type="spellStart"/>
            <w:r w:rsidRPr="001303AC">
              <w:rPr>
                <w:rFonts w:ascii="Times New Roman" w:eastAsia="Times New Roman" w:hAnsi="Times New Roman" w:cs="Times New Roman"/>
                <w:i/>
                <w:color w:val="000000"/>
                <w:sz w:val="18"/>
                <w:szCs w:val="18"/>
              </w:rPr>
              <w:t>norms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across</w:t>
            </w:r>
            <w:proofErr w:type="spellEnd"/>
            <w:r w:rsidRPr="001303AC">
              <w:rPr>
                <w:rFonts w:ascii="Times New Roman" w:eastAsia="Times New Roman" w:hAnsi="Times New Roman" w:cs="Times New Roman"/>
                <w:i/>
                <w:color w:val="000000"/>
                <w:sz w:val="18"/>
                <w:szCs w:val="18"/>
              </w:rPr>
              <w:t xml:space="preserve"> </w:t>
            </w:r>
            <w:proofErr w:type="spellStart"/>
            <w:r w:rsidRPr="001303AC">
              <w:rPr>
                <w:rFonts w:ascii="Times New Roman" w:eastAsia="Times New Roman" w:hAnsi="Times New Roman" w:cs="Times New Roman"/>
                <w:i/>
                <w:color w:val="000000"/>
                <w:sz w:val="18"/>
                <w:szCs w:val="18"/>
              </w:rPr>
              <w:t>generations</w:t>
            </w:r>
            <w:proofErr w:type="spellEnd"/>
            <w:r w:rsidRPr="001303AC">
              <w:rPr>
                <w:rFonts w:ascii="Times New Roman" w:eastAsia="Times New Roman" w:hAnsi="Times New Roman" w:cs="Times New Roman"/>
                <w:i/>
                <w:color w:val="000000"/>
                <w:sz w:val="18"/>
                <w:szCs w:val="18"/>
              </w:rPr>
              <w:t>.</w:t>
            </w:r>
          </w:p>
          <w:p w14:paraId="7D2CAD06" w14:textId="77777777" w:rsidR="00FB4D95" w:rsidRDefault="00FB4D95">
            <w:pPr>
              <w:widowControl w:val="0"/>
              <w:pBdr>
                <w:top w:val="nil"/>
                <w:left w:val="nil"/>
                <w:bottom w:val="nil"/>
                <w:right w:val="nil"/>
                <w:between w:val="nil"/>
              </w:pBdr>
              <w:spacing w:before="48" w:after="0" w:line="240" w:lineRule="auto"/>
              <w:ind w:left="141" w:right="250"/>
              <w:jc w:val="both"/>
              <w:rPr>
                <w:rFonts w:ascii="Times New Roman" w:eastAsia="Times New Roman" w:hAnsi="Times New Roman" w:cs="Times New Roman"/>
                <w:color w:val="000000"/>
                <w:sz w:val="18"/>
                <w:szCs w:val="18"/>
              </w:rPr>
            </w:pPr>
          </w:p>
        </w:tc>
        <w:tc>
          <w:tcPr>
            <w:tcW w:w="1677" w:type="dxa"/>
            <w:shd w:val="clear" w:color="auto" w:fill="FCE9D9"/>
          </w:tcPr>
          <w:p w14:paraId="35F6A888" w14:textId="25975431" w:rsidR="00FB4D95" w:rsidRDefault="00BE412A">
            <w:pPr>
              <w:widowControl w:val="0"/>
              <w:pBdr>
                <w:top w:val="nil"/>
                <w:left w:val="nil"/>
                <w:bottom w:val="nil"/>
                <w:right w:val="nil"/>
                <w:between w:val="nil"/>
              </w:pBdr>
              <w:spacing w:before="56" w:after="0" w:line="240" w:lineRule="auto"/>
              <w:ind w:left="248" w:right="426"/>
              <w:rPr>
                <w:rFonts w:ascii="Times New Roman" w:eastAsia="Times New Roman" w:hAnsi="Times New Roman" w:cs="Times New Roman"/>
                <w:i/>
                <w:color w:val="000000"/>
                <w:sz w:val="18"/>
                <w:szCs w:val="18"/>
              </w:rPr>
            </w:pPr>
            <w:r w:rsidRPr="00BE412A">
              <w:rPr>
                <w:rFonts w:ascii="Times New Roman" w:eastAsia="Times New Roman" w:hAnsi="Times New Roman" w:cs="Times New Roman"/>
                <w:i/>
                <w:color w:val="000000"/>
                <w:sz w:val="18"/>
                <w:szCs w:val="18"/>
              </w:rPr>
              <w:t xml:space="preserve">Energy </w:t>
            </w:r>
            <w:proofErr w:type="spellStart"/>
            <w:r w:rsidRPr="00BE412A">
              <w:rPr>
                <w:rFonts w:ascii="Times New Roman" w:eastAsia="Times New Roman" w:hAnsi="Times New Roman" w:cs="Times New Roman"/>
                <w:i/>
                <w:color w:val="000000"/>
                <w:sz w:val="18"/>
                <w:szCs w:val="18"/>
              </w:rPr>
              <w:t>Security</w:t>
            </w:r>
            <w:proofErr w:type="spellEnd"/>
            <w:r w:rsidRPr="00BE412A">
              <w:rPr>
                <w:rFonts w:ascii="Times New Roman" w:eastAsia="Times New Roman" w:hAnsi="Times New Roman" w:cs="Times New Roman"/>
                <w:i/>
                <w:color w:val="000000"/>
                <w:sz w:val="18"/>
                <w:szCs w:val="18"/>
              </w:rPr>
              <w:t xml:space="preserve">; </w:t>
            </w:r>
            <w:proofErr w:type="spellStart"/>
            <w:r w:rsidRPr="00BE412A">
              <w:rPr>
                <w:rFonts w:ascii="Times New Roman" w:eastAsia="Times New Roman" w:hAnsi="Times New Roman" w:cs="Times New Roman"/>
                <w:i/>
                <w:color w:val="000000"/>
                <w:sz w:val="18"/>
                <w:szCs w:val="18"/>
              </w:rPr>
              <w:t>Cultural</w:t>
            </w:r>
            <w:proofErr w:type="spellEnd"/>
            <w:r w:rsidRPr="00BE412A">
              <w:rPr>
                <w:rFonts w:ascii="Times New Roman" w:eastAsia="Times New Roman" w:hAnsi="Times New Roman" w:cs="Times New Roman"/>
                <w:i/>
                <w:color w:val="000000"/>
                <w:sz w:val="18"/>
                <w:szCs w:val="18"/>
              </w:rPr>
              <w:t xml:space="preserve"> </w:t>
            </w:r>
            <w:proofErr w:type="spellStart"/>
            <w:r w:rsidRPr="00BE412A">
              <w:rPr>
                <w:rFonts w:ascii="Times New Roman" w:eastAsia="Times New Roman" w:hAnsi="Times New Roman" w:cs="Times New Roman"/>
                <w:i/>
                <w:color w:val="000000"/>
                <w:sz w:val="18"/>
                <w:szCs w:val="18"/>
              </w:rPr>
              <w:t>Values</w:t>
            </w:r>
            <w:proofErr w:type="spellEnd"/>
            <w:r w:rsidRPr="00BE412A">
              <w:rPr>
                <w:rFonts w:ascii="Times New Roman" w:eastAsia="Times New Roman" w:hAnsi="Times New Roman" w:cs="Times New Roman"/>
                <w:i/>
                <w:color w:val="000000"/>
                <w:sz w:val="18"/>
                <w:szCs w:val="18"/>
              </w:rPr>
              <w:t xml:space="preserve">; Informal </w:t>
            </w:r>
            <w:proofErr w:type="spellStart"/>
            <w:r w:rsidRPr="00BE412A">
              <w:rPr>
                <w:rFonts w:ascii="Times New Roman" w:eastAsia="Times New Roman" w:hAnsi="Times New Roman" w:cs="Times New Roman"/>
                <w:i/>
                <w:color w:val="000000"/>
                <w:sz w:val="18"/>
                <w:szCs w:val="18"/>
              </w:rPr>
              <w:t>Institutions</w:t>
            </w:r>
            <w:proofErr w:type="spellEnd"/>
            <w:r w:rsidRPr="00BE412A">
              <w:rPr>
                <w:rFonts w:ascii="Times New Roman" w:eastAsia="Times New Roman" w:hAnsi="Times New Roman" w:cs="Times New Roman"/>
                <w:i/>
                <w:color w:val="000000"/>
                <w:sz w:val="18"/>
                <w:szCs w:val="18"/>
              </w:rPr>
              <w:t xml:space="preserve">; </w:t>
            </w:r>
            <w:proofErr w:type="spellStart"/>
            <w:r w:rsidRPr="00BE412A">
              <w:rPr>
                <w:rFonts w:ascii="Times New Roman" w:eastAsia="Times New Roman" w:hAnsi="Times New Roman" w:cs="Times New Roman"/>
                <w:i/>
                <w:color w:val="000000"/>
                <w:sz w:val="18"/>
                <w:szCs w:val="18"/>
              </w:rPr>
              <w:t>Governance</w:t>
            </w:r>
            <w:proofErr w:type="spellEnd"/>
            <w:r w:rsidRPr="00BE412A">
              <w:rPr>
                <w:rFonts w:ascii="Times New Roman" w:eastAsia="Times New Roman" w:hAnsi="Times New Roman" w:cs="Times New Roman"/>
                <w:i/>
                <w:color w:val="000000"/>
                <w:sz w:val="18"/>
                <w:szCs w:val="18"/>
              </w:rPr>
              <w:t xml:space="preserve">; Riau </w:t>
            </w:r>
            <w:proofErr w:type="spellStart"/>
            <w:r w:rsidRPr="00BE412A">
              <w:rPr>
                <w:rFonts w:ascii="Times New Roman" w:eastAsia="Times New Roman" w:hAnsi="Times New Roman" w:cs="Times New Roman"/>
                <w:i/>
                <w:color w:val="000000"/>
                <w:sz w:val="18"/>
                <w:szCs w:val="18"/>
              </w:rPr>
              <w:t>Malays</w:t>
            </w:r>
            <w:proofErr w:type="spellEnd"/>
          </w:p>
        </w:tc>
      </w:tr>
      <w:tr w:rsidR="00FB4D95" w14:paraId="5F68EF85" w14:textId="77777777">
        <w:trPr>
          <w:trHeight w:val="3123"/>
        </w:trPr>
        <w:tc>
          <w:tcPr>
            <w:tcW w:w="6873" w:type="dxa"/>
            <w:shd w:val="clear" w:color="auto" w:fill="FCE9D9"/>
          </w:tcPr>
          <w:p w14:paraId="321BC1E9" w14:textId="58D633BE" w:rsidR="00FB4D95" w:rsidRDefault="001303AC">
            <w:pPr>
              <w:widowControl w:val="0"/>
              <w:pBdr>
                <w:top w:val="nil"/>
                <w:left w:val="nil"/>
                <w:bottom w:val="nil"/>
                <w:right w:val="nil"/>
                <w:between w:val="nil"/>
              </w:pBdr>
              <w:spacing w:before="56" w:after="0" w:line="240" w:lineRule="auto"/>
              <w:ind w:left="141" w:right="246"/>
              <w:jc w:val="both"/>
              <w:rPr>
                <w:rFonts w:ascii="Times New Roman" w:eastAsia="Times New Roman" w:hAnsi="Times New Roman" w:cs="Times New Roman"/>
                <w:color w:val="000000"/>
                <w:sz w:val="18"/>
                <w:szCs w:val="18"/>
              </w:rPr>
            </w:pPr>
            <w:r w:rsidRPr="001303AC">
              <w:rPr>
                <w:rFonts w:ascii="Times New Roman" w:eastAsia="Times New Roman" w:hAnsi="Times New Roman" w:cs="Times New Roman"/>
                <w:color w:val="000000"/>
                <w:sz w:val="18"/>
                <w:szCs w:val="18"/>
              </w:rPr>
              <w:t>Ketahanan energi pada umumnya dinilai melalui kerangka "</w:t>
            </w:r>
            <w:proofErr w:type="spellStart"/>
            <w:r w:rsidRPr="001303AC">
              <w:rPr>
                <w:rFonts w:ascii="Times New Roman" w:eastAsia="Times New Roman" w:hAnsi="Times New Roman" w:cs="Times New Roman"/>
                <w:i/>
                <w:iCs/>
                <w:color w:val="000000"/>
                <w:sz w:val="18"/>
                <w:szCs w:val="18"/>
              </w:rPr>
              <w:t>four</w:t>
            </w:r>
            <w:proofErr w:type="spellEnd"/>
            <w:r w:rsidRPr="001303AC">
              <w:rPr>
                <w:rFonts w:ascii="Times New Roman" w:eastAsia="Times New Roman" w:hAnsi="Times New Roman" w:cs="Times New Roman"/>
                <w:i/>
                <w:iCs/>
                <w:color w:val="000000"/>
                <w:sz w:val="18"/>
                <w:szCs w:val="18"/>
              </w:rPr>
              <w:t xml:space="preserve"> </w:t>
            </w:r>
            <w:proofErr w:type="spellStart"/>
            <w:r w:rsidRPr="001303AC">
              <w:rPr>
                <w:rFonts w:ascii="Times New Roman" w:eastAsia="Times New Roman" w:hAnsi="Times New Roman" w:cs="Times New Roman"/>
                <w:i/>
                <w:iCs/>
                <w:color w:val="000000"/>
                <w:sz w:val="18"/>
                <w:szCs w:val="18"/>
              </w:rPr>
              <w:t>A's</w:t>
            </w:r>
            <w:proofErr w:type="spellEnd"/>
            <w:r w:rsidRPr="001303AC">
              <w:rPr>
                <w:rFonts w:ascii="Times New Roman" w:eastAsia="Times New Roman" w:hAnsi="Times New Roman" w:cs="Times New Roman"/>
                <w:color w:val="000000"/>
                <w:sz w:val="18"/>
                <w:szCs w:val="18"/>
              </w:rPr>
              <w:t>", yaitu ketersediaan (</w:t>
            </w:r>
            <w:proofErr w:type="spellStart"/>
            <w:r w:rsidRPr="001303AC">
              <w:rPr>
                <w:rFonts w:ascii="Times New Roman" w:eastAsia="Times New Roman" w:hAnsi="Times New Roman" w:cs="Times New Roman"/>
                <w:i/>
                <w:iCs/>
                <w:color w:val="000000"/>
                <w:sz w:val="18"/>
                <w:szCs w:val="18"/>
              </w:rPr>
              <w:t>availability</w:t>
            </w:r>
            <w:proofErr w:type="spellEnd"/>
            <w:r w:rsidRPr="001303AC">
              <w:rPr>
                <w:rFonts w:ascii="Times New Roman" w:eastAsia="Times New Roman" w:hAnsi="Times New Roman" w:cs="Times New Roman"/>
                <w:color w:val="000000"/>
                <w:sz w:val="18"/>
                <w:szCs w:val="18"/>
              </w:rPr>
              <w:t>), aksesibilitas (</w:t>
            </w:r>
            <w:proofErr w:type="spellStart"/>
            <w:r w:rsidRPr="001303AC">
              <w:rPr>
                <w:rFonts w:ascii="Times New Roman" w:eastAsia="Times New Roman" w:hAnsi="Times New Roman" w:cs="Times New Roman"/>
                <w:i/>
                <w:iCs/>
                <w:color w:val="000000"/>
                <w:sz w:val="18"/>
                <w:szCs w:val="18"/>
              </w:rPr>
              <w:t>accessibility</w:t>
            </w:r>
            <w:proofErr w:type="spellEnd"/>
            <w:r w:rsidRPr="001303AC">
              <w:rPr>
                <w:rFonts w:ascii="Times New Roman" w:eastAsia="Times New Roman" w:hAnsi="Times New Roman" w:cs="Times New Roman"/>
                <w:color w:val="000000"/>
                <w:sz w:val="18"/>
                <w:szCs w:val="18"/>
              </w:rPr>
              <w:t xml:space="preserve">), </w:t>
            </w:r>
            <w:proofErr w:type="spellStart"/>
            <w:r w:rsidRPr="001303AC">
              <w:rPr>
                <w:rFonts w:ascii="Times New Roman" w:eastAsia="Times New Roman" w:hAnsi="Times New Roman" w:cs="Times New Roman"/>
                <w:color w:val="000000"/>
                <w:sz w:val="18"/>
                <w:szCs w:val="18"/>
              </w:rPr>
              <w:t>keterjangkauan</w:t>
            </w:r>
            <w:proofErr w:type="spellEnd"/>
            <w:r w:rsidRPr="001303AC">
              <w:rPr>
                <w:rFonts w:ascii="Times New Roman" w:eastAsia="Times New Roman" w:hAnsi="Times New Roman" w:cs="Times New Roman"/>
                <w:color w:val="000000"/>
                <w:sz w:val="18"/>
                <w:szCs w:val="18"/>
              </w:rPr>
              <w:t xml:space="preserve"> (</w:t>
            </w:r>
            <w:proofErr w:type="spellStart"/>
            <w:r w:rsidRPr="001303AC">
              <w:rPr>
                <w:rFonts w:ascii="Times New Roman" w:eastAsia="Times New Roman" w:hAnsi="Times New Roman" w:cs="Times New Roman"/>
                <w:i/>
                <w:iCs/>
                <w:color w:val="000000"/>
                <w:sz w:val="18"/>
                <w:szCs w:val="18"/>
              </w:rPr>
              <w:t>affordability</w:t>
            </w:r>
            <w:proofErr w:type="spellEnd"/>
            <w:r w:rsidRPr="001303AC">
              <w:rPr>
                <w:rFonts w:ascii="Times New Roman" w:eastAsia="Times New Roman" w:hAnsi="Times New Roman" w:cs="Times New Roman"/>
                <w:color w:val="000000"/>
                <w:sz w:val="18"/>
                <w:szCs w:val="18"/>
              </w:rPr>
              <w:t>), dan penerimaan (</w:t>
            </w:r>
            <w:proofErr w:type="spellStart"/>
            <w:r w:rsidRPr="001303AC">
              <w:rPr>
                <w:rFonts w:ascii="Times New Roman" w:eastAsia="Times New Roman" w:hAnsi="Times New Roman" w:cs="Times New Roman"/>
                <w:i/>
                <w:iCs/>
                <w:color w:val="000000"/>
                <w:sz w:val="18"/>
                <w:szCs w:val="18"/>
              </w:rPr>
              <w:t>acceptability</w:t>
            </w:r>
            <w:proofErr w:type="spellEnd"/>
            <w:r w:rsidRPr="001303AC">
              <w:rPr>
                <w:rFonts w:ascii="Times New Roman" w:eastAsia="Times New Roman" w:hAnsi="Times New Roman" w:cs="Times New Roman"/>
                <w:color w:val="000000"/>
                <w:sz w:val="18"/>
                <w:szCs w:val="18"/>
              </w:rPr>
              <w:t xml:space="preserve">). Kerangka ini menggambarkan karakteristik sistem energi, tetapi belum menjelaskan nilai sosial yang membentuk cara sumber daya dikelola. Penelitian ini menganalisis bagaimana nilai kejuangan dalam budaya Melayu Riau berkaitan dengan ketahanan energi melalui tiga mekanisme, yaitu transmisi norma, </w:t>
            </w:r>
            <w:proofErr w:type="spellStart"/>
            <w:r w:rsidRPr="001303AC">
              <w:rPr>
                <w:rFonts w:ascii="Times New Roman" w:eastAsia="Times New Roman" w:hAnsi="Times New Roman" w:cs="Times New Roman"/>
                <w:color w:val="000000"/>
                <w:sz w:val="18"/>
                <w:szCs w:val="18"/>
              </w:rPr>
              <w:t>institusionalisasi</w:t>
            </w:r>
            <w:proofErr w:type="spellEnd"/>
            <w:r w:rsidRPr="001303AC">
              <w:rPr>
                <w:rFonts w:ascii="Times New Roman" w:eastAsia="Times New Roman" w:hAnsi="Times New Roman" w:cs="Times New Roman"/>
                <w:color w:val="000000"/>
                <w:sz w:val="18"/>
                <w:szCs w:val="18"/>
              </w:rPr>
              <w:t xml:space="preserve"> informal, dan praktik tata kelola. Penelitian menggunakan studi kasus kualitatif dengan wawancara mendalam dengan tokoh adat, akademisi, pemerintah daerah, dan pemangku kepentingan sektor energi, observasi lapangan, serta dokumen dari Lembaga Adat Melayu Riau (LAMR), Istana Siak Sri Indrapura, dan Museum Sang Nila Utama yang dikumpulkan. Analisis tematik menunjukkan bahwa nilai amanah, integritas, musyawarah, gotong royong, tanggung jawab, kepedulian lingkungan, dan rela berkorban ditransmisikan melalui pembinaan adat, keteladanan sejarah, dan edukasi museum, kemudian dimaknai sebagai ekspektasi perilaku informal yang relevan bagi tata kelola sumber daya. Namun, transmisi tersebut melemah akibat terbatasnya regenerasi tokoh adat, menurunnya minat generasi muda, dan persaingan dengan media digital. Penelitian ini berargumen bahwa ketahanan energi memiliki dimensi normatif yang tidak hanya bergantung pada keberadaan nilai budaya, tetapi juga pada kemampuan institusi mereproduksinya sebagai norma lintas generasi.</w:t>
            </w:r>
          </w:p>
        </w:tc>
        <w:tc>
          <w:tcPr>
            <w:tcW w:w="1677" w:type="dxa"/>
            <w:shd w:val="clear" w:color="auto" w:fill="FCE9D9"/>
          </w:tcPr>
          <w:p w14:paraId="6DEACE73" w14:textId="77777777" w:rsidR="00FB4D95" w:rsidRDefault="00FB4D95">
            <w:pPr>
              <w:widowControl w:val="0"/>
              <w:pBdr>
                <w:top w:val="nil"/>
                <w:left w:val="nil"/>
                <w:bottom w:val="nil"/>
                <w:right w:val="nil"/>
                <w:between w:val="nil"/>
              </w:pBdr>
              <w:spacing w:before="48" w:after="0" w:line="240" w:lineRule="auto"/>
              <w:ind w:right="419"/>
              <w:rPr>
                <w:rFonts w:ascii="Times New Roman" w:eastAsia="Times New Roman" w:hAnsi="Times New Roman" w:cs="Times New Roman"/>
                <w:color w:val="000000"/>
                <w:sz w:val="18"/>
                <w:szCs w:val="18"/>
              </w:rPr>
            </w:pPr>
          </w:p>
          <w:p w14:paraId="495F1301" w14:textId="33E1D09E" w:rsidR="00FB4D95" w:rsidRDefault="00BE412A">
            <w:pPr>
              <w:widowControl w:val="0"/>
              <w:pBdr>
                <w:top w:val="nil"/>
                <w:left w:val="nil"/>
                <w:bottom w:val="nil"/>
                <w:right w:val="nil"/>
                <w:between w:val="nil"/>
              </w:pBdr>
              <w:spacing w:after="0" w:line="240" w:lineRule="auto"/>
              <w:ind w:left="248"/>
              <w:rPr>
                <w:rFonts w:ascii="Times New Roman" w:eastAsia="Times New Roman" w:hAnsi="Times New Roman" w:cs="Times New Roman"/>
                <w:i/>
                <w:color w:val="000000"/>
                <w:sz w:val="18"/>
                <w:szCs w:val="18"/>
              </w:rPr>
            </w:pPr>
            <w:r w:rsidRPr="00BE412A">
              <w:rPr>
                <w:rFonts w:ascii="Times New Roman" w:eastAsia="Times New Roman" w:hAnsi="Times New Roman" w:cs="Times New Roman"/>
                <w:color w:val="000000"/>
                <w:sz w:val="18"/>
                <w:szCs w:val="18"/>
              </w:rPr>
              <w:t>Ketahanan Energi; Nilai Budaya; Institusi Informal; Tata Kelola; Melayu Riau</w:t>
            </w:r>
          </w:p>
        </w:tc>
      </w:tr>
    </w:tbl>
    <w:p w14:paraId="57B99935" w14:textId="77777777" w:rsidR="00FB4D95" w:rsidRDefault="00000000">
      <w:pPr>
        <w:spacing w:before="121" w:after="0"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DOI:</w:t>
      </w:r>
    </w:p>
    <w:p w14:paraId="06376292" w14:textId="14B8F767" w:rsidR="00FB4D95" w:rsidRDefault="00F828EB">
      <w:pPr>
        <w:spacing w:line="240" w:lineRule="auto"/>
        <w:rPr>
          <w:rFonts w:ascii="Times New Roman" w:eastAsia="Times New Roman" w:hAnsi="Times New Roman" w:cs="Times New Roman"/>
          <w:sz w:val="18"/>
          <w:szCs w:val="18"/>
        </w:rPr>
      </w:pPr>
      <w:hyperlink r:id="rId9">
        <w:r w:rsidRPr="00F828EB">
          <w:rPr>
            <w:rFonts w:ascii="Times New Roman" w:eastAsia="Times New Roman" w:hAnsi="Times New Roman" w:cs="Times New Roman"/>
            <w:color w:val="974705"/>
            <w:sz w:val="18"/>
            <w:szCs w:val="18"/>
          </w:rPr>
          <w:t>https://doi.org/10.53611/0kwkry64</w:t>
        </w:r>
        <w:r>
          <w:rPr>
            <w:rFonts w:ascii="Times New Roman" w:eastAsia="Times New Roman" w:hAnsi="Times New Roman" w:cs="Times New Roman"/>
            <w:color w:val="974705"/>
            <w:sz w:val="18"/>
            <w:szCs w:val="18"/>
          </w:rPr>
          <w:t xml:space="preserve"> </w:t>
        </w:r>
      </w:hyperlink>
    </w:p>
    <w:p w14:paraId="15CD2620" w14:textId="77777777" w:rsidR="00FB4D95" w:rsidRDefault="00000000">
      <w:pPr>
        <w:spacing w:before="126" w:after="0" w:line="240" w:lineRule="auto"/>
        <w:rPr>
          <w:rFonts w:ascii="Times New Roman" w:eastAsia="Times New Roman" w:hAnsi="Times New Roman" w:cs="Times New Roman"/>
          <w:b/>
          <w:sz w:val="18"/>
          <w:szCs w:val="18"/>
        </w:rPr>
      </w:pPr>
      <w:proofErr w:type="spellStart"/>
      <w:r>
        <w:rPr>
          <w:rFonts w:ascii="Times New Roman" w:eastAsia="Times New Roman" w:hAnsi="Times New Roman" w:cs="Times New Roman"/>
          <w:b/>
          <w:sz w:val="18"/>
          <w:szCs w:val="18"/>
        </w:rPr>
        <w:t>Article</w:t>
      </w:r>
      <w:proofErr w:type="spellEnd"/>
      <w:r>
        <w:rPr>
          <w:rFonts w:ascii="Times New Roman" w:eastAsia="Times New Roman" w:hAnsi="Times New Roman" w:cs="Times New Roman"/>
          <w:b/>
          <w:sz w:val="18"/>
          <w:szCs w:val="18"/>
        </w:rPr>
        <w:t xml:space="preserve"> Info</w:t>
      </w:r>
    </w:p>
    <w:tbl>
      <w:tblPr>
        <w:tblStyle w:val="a2"/>
        <w:tblW w:w="8550" w:type="dxa"/>
        <w:tblLayout w:type="fixed"/>
        <w:tblLook w:val="0000" w:firstRow="0" w:lastRow="0" w:firstColumn="0" w:lastColumn="0" w:noHBand="0" w:noVBand="0"/>
      </w:tblPr>
      <w:tblGrid>
        <w:gridCol w:w="2660"/>
        <w:gridCol w:w="3077"/>
        <w:gridCol w:w="2813"/>
      </w:tblGrid>
      <w:tr w:rsidR="00FB4D95" w14:paraId="06B30B16" w14:textId="77777777">
        <w:trPr>
          <w:trHeight w:val="206"/>
        </w:trPr>
        <w:tc>
          <w:tcPr>
            <w:tcW w:w="2660" w:type="dxa"/>
            <w:shd w:val="clear" w:color="auto" w:fill="FCE9D9"/>
          </w:tcPr>
          <w:p w14:paraId="7A3C5E1B" w14:textId="3F9E2FF0" w:rsidR="00FB4D95"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b/>
                <w:color w:val="000000"/>
                <w:sz w:val="18"/>
                <w:szCs w:val="18"/>
              </w:rPr>
              <w:t>Received</w:t>
            </w:r>
            <w:proofErr w:type="spellEnd"/>
            <w:r>
              <w:rPr>
                <w:rFonts w:ascii="Times New Roman" w:eastAsia="Times New Roman" w:hAnsi="Times New Roman" w:cs="Times New Roman"/>
                <w:b/>
                <w:color w:val="000000"/>
                <w:sz w:val="18"/>
                <w:szCs w:val="18"/>
              </w:rPr>
              <w:t xml:space="preserve">: </w:t>
            </w:r>
            <w:r w:rsidR="00F828EB" w:rsidRPr="00F828EB">
              <w:rPr>
                <w:rFonts w:ascii="Times New Roman" w:eastAsia="Times New Roman" w:hAnsi="Times New Roman" w:cs="Times New Roman"/>
                <w:bCs/>
                <w:color w:val="000000"/>
                <w:sz w:val="18"/>
                <w:szCs w:val="18"/>
              </w:rPr>
              <w:t xml:space="preserve">September </w:t>
            </w:r>
            <w:r w:rsidR="00F828EB">
              <w:rPr>
                <w:rFonts w:ascii="Times New Roman" w:eastAsia="Times New Roman" w:hAnsi="Times New Roman" w:cs="Times New Roman"/>
                <w:bCs/>
                <w:color w:val="000000"/>
                <w:sz w:val="18"/>
                <w:szCs w:val="18"/>
              </w:rPr>
              <w:t>02</w:t>
            </w:r>
            <w:r w:rsidR="00F828EB" w:rsidRPr="00F828EB">
              <w:rPr>
                <w:rFonts w:ascii="Times New Roman" w:eastAsia="Times New Roman" w:hAnsi="Times New Roman" w:cs="Times New Roman"/>
                <w:bCs/>
                <w:color w:val="000000"/>
                <w:sz w:val="18"/>
                <w:szCs w:val="18"/>
              </w:rPr>
              <w:t>, 2026</w:t>
            </w:r>
          </w:p>
        </w:tc>
        <w:tc>
          <w:tcPr>
            <w:tcW w:w="3077" w:type="dxa"/>
            <w:shd w:val="clear" w:color="auto" w:fill="FCE9D9"/>
          </w:tcPr>
          <w:p w14:paraId="78F332C2" w14:textId="0F8C55F9" w:rsidR="00FB4D95" w:rsidRDefault="00000000">
            <w:pPr>
              <w:widowControl w:val="0"/>
              <w:pBdr>
                <w:top w:val="nil"/>
                <w:left w:val="nil"/>
                <w:bottom w:val="nil"/>
                <w:right w:val="nil"/>
                <w:between w:val="nil"/>
              </w:pBdr>
              <w:spacing w:after="0" w:line="240" w:lineRule="auto"/>
              <w:ind w:left="456"/>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b/>
                <w:color w:val="000000"/>
                <w:sz w:val="18"/>
                <w:szCs w:val="18"/>
              </w:rPr>
              <w:t>Accepted</w:t>
            </w:r>
            <w:proofErr w:type="spellEnd"/>
            <w:r>
              <w:rPr>
                <w:rFonts w:ascii="Times New Roman" w:eastAsia="Times New Roman" w:hAnsi="Times New Roman" w:cs="Times New Roman"/>
                <w:b/>
                <w:color w:val="000000"/>
                <w:sz w:val="18"/>
                <w:szCs w:val="18"/>
              </w:rPr>
              <w:t xml:space="preserve">: </w:t>
            </w:r>
            <w:r w:rsidR="00F828EB" w:rsidRPr="00F828EB">
              <w:rPr>
                <w:rFonts w:ascii="Times New Roman" w:eastAsia="Times New Roman" w:hAnsi="Times New Roman" w:cs="Times New Roman"/>
                <w:bCs/>
                <w:color w:val="000000"/>
                <w:sz w:val="18"/>
                <w:szCs w:val="18"/>
              </w:rPr>
              <w:t xml:space="preserve">September </w:t>
            </w:r>
            <w:r w:rsidR="00F828EB">
              <w:rPr>
                <w:rFonts w:ascii="Times New Roman" w:eastAsia="Times New Roman" w:hAnsi="Times New Roman" w:cs="Times New Roman"/>
                <w:bCs/>
                <w:color w:val="000000"/>
                <w:sz w:val="18"/>
                <w:szCs w:val="18"/>
              </w:rPr>
              <w:t>28</w:t>
            </w:r>
            <w:r w:rsidR="00F828EB" w:rsidRPr="00F828EB">
              <w:rPr>
                <w:rFonts w:ascii="Times New Roman" w:eastAsia="Times New Roman" w:hAnsi="Times New Roman" w:cs="Times New Roman"/>
                <w:bCs/>
                <w:color w:val="000000"/>
                <w:sz w:val="18"/>
                <w:szCs w:val="18"/>
              </w:rPr>
              <w:t>, 2026</w:t>
            </w:r>
          </w:p>
        </w:tc>
        <w:tc>
          <w:tcPr>
            <w:tcW w:w="2813" w:type="dxa"/>
            <w:shd w:val="clear" w:color="auto" w:fill="FCE9D9"/>
          </w:tcPr>
          <w:p w14:paraId="24EF2D8C" w14:textId="3B36552A" w:rsidR="00FB4D95" w:rsidRDefault="00000000">
            <w:pPr>
              <w:widowControl w:val="0"/>
              <w:pBdr>
                <w:top w:val="nil"/>
                <w:left w:val="nil"/>
                <w:bottom w:val="nil"/>
                <w:right w:val="nil"/>
                <w:between w:val="nil"/>
              </w:pBdr>
              <w:spacing w:after="0" w:line="240" w:lineRule="auto"/>
              <w:ind w:left="392"/>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b/>
                <w:color w:val="000000"/>
                <w:sz w:val="18"/>
                <w:szCs w:val="18"/>
              </w:rPr>
              <w:t>Published</w:t>
            </w:r>
            <w:proofErr w:type="spellEnd"/>
            <w:r>
              <w:rPr>
                <w:rFonts w:ascii="Times New Roman" w:eastAsia="Times New Roman" w:hAnsi="Times New Roman" w:cs="Times New Roman"/>
                <w:b/>
                <w:color w:val="000000"/>
                <w:sz w:val="18"/>
                <w:szCs w:val="18"/>
              </w:rPr>
              <w:t xml:space="preserve">: </w:t>
            </w:r>
            <w:r w:rsidR="00F828EB" w:rsidRPr="00F828EB">
              <w:rPr>
                <w:rFonts w:ascii="Times New Roman" w:eastAsia="Times New Roman" w:hAnsi="Times New Roman" w:cs="Times New Roman"/>
                <w:bCs/>
                <w:color w:val="000000"/>
                <w:sz w:val="18"/>
                <w:szCs w:val="18"/>
              </w:rPr>
              <w:t xml:space="preserve">September </w:t>
            </w:r>
            <w:r w:rsidR="00F828EB">
              <w:rPr>
                <w:rFonts w:ascii="Times New Roman" w:eastAsia="Times New Roman" w:hAnsi="Times New Roman" w:cs="Times New Roman"/>
                <w:bCs/>
                <w:color w:val="000000"/>
                <w:sz w:val="18"/>
                <w:szCs w:val="18"/>
              </w:rPr>
              <w:t>30</w:t>
            </w:r>
            <w:r w:rsidR="00F828EB" w:rsidRPr="00F828EB">
              <w:rPr>
                <w:rFonts w:ascii="Times New Roman" w:eastAsia="Times New Roman" w:hAnsi="Times New Roman" w:cs="Times New Roman"/>
                <w:bCs/>
                <w:color w:val="000000"/>
                <w:sz w:val="18"/>
                <w:szCs w:val="18"/>
              </w:rPr>
              <w:t>, 2026</w:t>
            </w:r>
          </w:p>
        </w:tc>
      </w:tr>
    </w:tbl>
    <w:p w14:paraId="1DBCF973" w14:textId="642DC68C" w:rsidR="00FB4D95" w:rsidRDefault="00000000">
      <w:pPr>
        <w:spacing w:before="115" w:line="240" w:lineRule="auto"/>
        <w:ind w:right="1645"/>
        <w:rPr>
          <w:rFonts w:ascii="Times New Roman" w:eastAsia="Times New Roman" w:hAnsi="Times New Roman" w:cs="Times New Roman"/>
          <w:sz w:val="18"/>
          <w:szCs w:val="18"/>
        </w:rPr>
        <w:sectPr w:rsidR="00FB4D95" w:rsidSect="005D74C7">
          <w:headerReference w:type="default" r:id="rId10"/>
          <w:footerReference w:type="default" r:id="rId11"/>
          <w:footerReference w:type="first" r:id="rId12"/>
          <w:pgSz w:w="11906" w:h="16838"/>
          <w:pgMar w:top="1134" w:right="1701" w:bottom="1134" w:left="1701" w:header="709" w:footer="709" w:gutter="0"/>
          <w:pgNumType w:start="305"/>
          <w:cols w:space="720"/>
          <w:titlePg/>
        </w:sectPr>
      </w:pPr>
      <w:proofErr w:type="spellStart"/>
      <w:r>
        <w:rPr>
          <w:rFonts w:ascii="Times New Roman" w:eastAsia="Times New Roman" w:hAnsi="Times New Roman" w:cs="Times New Roman"/>
          <w:b/>
          <w:color w:val="974705"/>
          <w:sz w:val="18"/>
          <w:szCs w:val="18"/>
        </w:rPr>
        <w:t>Copyright</w:t>
      </w:r>
      <w:proofErr w:type="spellEnd"/>
      <w:r>
        <w:rPr>
          <w:rFonts w:ascii="Times New Roman" w:eastAsia="Times New Roman" w:hAnsi="Times New Roman" w:cs="Times New Roman"/>
          <w:b/>
          <w:color w:val="974705"/>
          <w:sz w:val="18"/>
          <w:szCs w:val="18"/>
        </w:rPr>
        <w:t xml:space="preserve"> © </w:t>
      </w:r>
      <w:r>
        <w:rPr>
          <w:rFonts w:ascii="Times New Roman" w:eastAsia="Times New Roman" w:hAnsi="Times New Roman" w:cs="Times New Roman"/>
          <w:sz w:val="18"/>
          <w:szCs w:val="18"/>
        </w:rPr>
        <w:t>202</w:t>
      </w:r>
      <w:r w:rsidR="00AE6D86">
        <w:rPr>
          <w:rFonts w:ascii="Times New Roman" w:eastAsia="Times New Roman" w:hAnsi="Times New Roman" w:cs="Times New Roman"/>
          <w:sz w:val="18"/>
          <w:szCs w:val="18"/>
        </w:rPr>
        <w:t>6</w:t>
      </w:r>
      <w:r>
        <w:rPr>
          <w:rFonts w:ascii="Times New Roman" w:eastAsia="Times New Roman" w:hAnsi="Times New Roman" w:cs="Times New Roman"/>
          <w:sz w:val="18"/>
          <w:szCs w:val="18"/>
        </w:rPr>
        <w:t xml:space="preserve"> The </w:t>
      </w:r>
      <w:proofErr w:type="spellStart"/>
      <w:r>
        <w:rPr>
          <w:rFonts w:ascii="Times New Roman" w:eastAsia="Times New Roman" w:hAnsi="Times New Roman" w:cs="Times New Roman"/>
          <w:sz w:val="18"/>
          <w:szCs w:val="18"/>
        </w:rPr>
        <w:t>Author</w:t>
      </w:r>
      <w:proofErr w:type="spellEnd"/>
      <w:r>
        <w:rPr>
          <w:rFonts w:ascii="Times New Roman" w:eastAsia="Times New Roman" w:hAnsi="Times New Roman" w:cs="Times New Roman"/>
          <w:sz w:val="18"/>
          <w:szCs w:val="18"/>
        </w:rPr>
        <w:t xml:space="preserve">(s). </w:t>
      </w:r>
      <w:proofErr w:type="spellStart"/>
      <w:r>
        <w:rPr>
          <w:rFonts w:ascii="Times New Roman" w:eastAsia="Times New Roman" w:hAnsi="Times New Roman" w:cs="Times New Roman"/>
          <w:sz w:val="18"/>
          <w:szCs w:val="18"/>
        </w:rPr>
        <w:t>Published</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by</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Suwaib</w:t>
      </w:r>
      <w:proofErr w:type="spellEnd"/>
      <w:r>
        <w:rPr>
          <w:rFonts w:ascii="Times New Roman" w:eastAsia="Times New Roman" w:hAnsi="Times New Roman" w:cs="Times New Roman"/>
          <w:sz w:val="18"/>
          <w:szCs w:val="18"/>
        </w:rPr>
        <w:t xml:space="preserve"> Amiruddin </w:t>
      </w:r>
      <w:proofErr w:type="spellStart"/>
      <w:r>
        <w:rPr>
          <w:rFonts w:ascii="Times New Roman" w:eastAsia="Times New Roman" w:hAnsi="Times New Roman" w:cs="Times New Roman"/>
          <w:sz w:val="18"/>
          <w:szCs w:val="18"/>
        </w:rPr>
        <w:t>Foundation</w:t>
      </w:r>
      <w:proofErr w:type="spellEnd"/>
      <w:r>
        <w:rPr>
          <w:rFonts w:ascii="Times New Roman" w:eastAsia="Times New Roman" w:hAnsi="Times New Roman" w:cs="Times New Roman"/>
          <w:sz w:val="18"/>
          <w:szCs w:val="18"/>
        </w:rPr>
        <w:t xml:space="preserve">, Indonesia.    </w:t>
      </w:r>
      <w:proofErr w:type="spellStart"/>
      <w:r>
        <w:rPr>
          <w:rFonts w:ascii="Times New Roman" w:eastAsia="Times New Roman" w:hAnsi="Times New Roman" w:cs="Times New Roman"/>
          <w:sz w:val="18"/>
          <w:szCs w:val="18"/>
        </w:rPr>
        <w:t>This</w:t>
      </w:r>
      <w:proofErr w:type="spellEnd"/>
      <w:r>
        <w:rPr>
          <w:rFonts w:ascii="Times New Roman" w:eastAsia="Times New Roman" w:hAnsi="Times New Roman" w:cs="Times New Roman"/>
          <w:sz w:val="18"/>
          <w:szCs w:val="18"/>
        </w:rPr>
        <w:t xml:space="preserve"> is </w:t>
      </w:r>
      <w:proofErr w:type="spellStart"/>
      <w:r>
        <w:rPr>
          <w:rFonts w:ascii="Times New Roman" w:eastAsia="Times New Roman" w:hAnsi="Times New Roman" w:cs="Times New Roman"/>
          <w:sz w:val="18"/>
          <w:szCs w:val="18"/>
        </w:rPr>
        <w:t>an</w:t>
      </w:r>
      <w:proofErr w:type="spellEnd"/>
      <w:r>
        <w:rPr>
          <w:rFonts w:ascii="Times New Roman" w:eastAsia="Times New Roman" w:hAnsi="Times New Roman" w:cs="Times New Roman"/>
          <w:sz w:val="18"/>
          <w:szCs w:val="18"/>
        </w:rPr>
        <w:t xml:space="preserve"> Open Access </w:t>
      </w:r>
      <w:proofErr w:type="spellStart"/>
      <w:r>
        <w:rPr>
          <w:rFonts w:ascii="Times New Roman" w:eastAsia="Times New Roman" w:hAnsi="Times New Roman" w:cs="Times New Roman"/>
          <w:sz w:val="18"/>
          <w:szCs w:val="18"/>
        </w:rPr>
        <w:t>article</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under</w:t>
      </w:r>
      <w:proofErr w:type="spellEnd"/>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the</w:t>
      </w:r>
      <w:proofErr w:type="spellEnd"/>
      <w:r>
        <w:rPr>
          <w:rFonts w:ascii="Times New Roman" w:eastAsia="Times New Roman" w:hAnsi="Times New Roman" w:cs="Times New Roman"/>
          <w:sz w:val="18"/>
          <w:szCs w:val="18"/>
        </w:rPr>
        <w:t xml:space="preserve"> CC BY 4.0 </w:t>
      </w:r>
      <w:proofErr w:type="spellStart"/>
      <w:r>
        <w:rPr>
          <w:rFonts w:ascii="Times New Roman" w:eastAsia="Times New Roman" w:hAnsi="Times New Roman" w:cs="Times New Roman"/>
          <w:sz w:val="18"/>
          <w:szCs w:val="18"/>
        </w:rPr>
        <w:t>license</w:t>
      </w:r>
      <w:proofErr w:type="spellEnd"/>
    </w:p>
    <w:p w14:paraId="75BA7BED" w14:textId="77777777" w:rsidR="00FB4D95" w:rsidRDefault="00FB4D95">
      <w:pPr>
        <w:spacing w:after="0" w:line="240" w:lineRule="auto"/>
        <w:rPr>
          <w:rFonts w:ascii="Times New Roman" w:eastAsia="Times New Roman" w:hAnsi="Times New Roman" w:cs="Times New Roman"/>
          <w:b/>
        </w:rPr>
        <w:sectPr w:rsidR="00FB4D95">
          <w:type w:val="continuous"/>
          <w:pgSz w:w="11906" w:h="16838"/>
          <w:pgMar w:top="1134" w:right="1701" w:bottom="1134" w:left="1701" w:header="709" w:footer="709" w:gutter="0"/>
          <w:pgNumType w:start="57"/>
          <w:cols w:num="2" w:space="720" w:equalWidth="0">
            <w:col w:w="3897" w:space="708"/>
            <w:col w:w="3897" w:space="0"/>
          </w:cols>
          <w:titlePg/>
        </w:sectPr>
      </w:pPr>
    </w:p>
    <w:p w14:paraId="08007E52" w14:textId="77777777" w:rsidR="00084FED" w:rsidRDefault="00084FED">
      <w:pPr>
        <w:spacing w:after="0" w:line="240" w:lineRule="auto"/>
        <w:rPr>
          <w:rFonts w:ascii="Times New Roman" w:eastAsia="Times New Roman" w:hAnsi="Times New Roman" w:cs="Times New Roman"/>
          <w:b/>
          <w:color w:val="974705"/>
        </w:rPr>
      </w:pPr>
    </w:p>
    <w:p w14:paraId="4D98369A" w14:textId="77777777" w:rsidR="00084FED" w:rsidRDefault="00084FED">
      <w:pPr>
        <w:spacing w:after="0" w:line="240" w:lineRule="auto"/>
        <w:rPr>
          <w:rFonts w:ascii="Times New Roman" w:eastAsia="Times New Roman" w:hAnsi="Times New Roman" w:cs="Times New Roman"/>
          <w:b/>
          <w:color w:val="974705"/>
        </w:rPr>
      </w:pPr>
    </w:p>
    <w:p w14:paraId="0E313A6C" w14:textId="3AB04FA6" w:rsidR="00FB4D95" w:rsidRDefault="00084FED">
      <w:pPr>
        <w:spacing w:after="0" w:line="240" w:lineRule="auto"/>
        <w:rPr>
          <w:rFonts w:ascii="Times New Roman" w:eastAsia="Times New Roman" w:hAnsi="Times New Roman" w:cs="Times New Roman"/>
          <w:b/>
        </w:rPr>
      </w:pPr>
      <w:r>
        <w:rPr>
          <w:rFonts w:ascii="Times New Roman" w:eastAsia="Times New Roman" w:hAnsi="Times New Roman" w:cs="Times New Roman"/>
          <w:b/>
          <w:color w:val="974705"/>
        </w:rPr>
        <w:lastRenderedPageBreak/>
        <w:t>Pendahuluan</w:t>
      </w:r>
    </w:p>
    <w:p w14:paraId="11BE935C" w14:textId="087A81CA" w:rsidR="00BE412A" w:rsidRPr="00450343" w:rsidRDefault="00BE412A" w:rsidP="00BE412A">
      <w:pPr>
        <w:spacing w:after="0" w:line="240" w:lineRule="auto"/>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 xml:space="preserve">Ketahanan energi biasanya dipahami sebagai masalah menjaga sistem energi agar tetap tersedia, dapat diakses, terjangkau, dan dapat diterima. Kerangka </w:t>
      </w:r>
      <w:r w:rsidRPr="00450343">
        <w:rPr>
          <w:rFonts w:ascii="Times New Roman" w:eastAsia="Times New Roman" w:hAnsi="Times New Roman" w:cs="Times New Roman"/>
          <w:i/>
          <w:iCs/>
          <w:lang w:val="sv-SE"/>
        </w:rPr>
        <w:t>four A’s</w:t>
      </w:r>
      <w:r>
        <w:rPr>
          <w:rFonts w:ascii="Times New Roman" w:eastAsia="Times New Roman" w:hAnsi="Times New Roman" w:cs="Times New Roman"/>
          <w:lang w:val="sv-SE"/>
        </w:rPr>
        <w:t xml:space="preserve"> </w:t>
      </w:r>
      <w:r w:rsidRPr="00450343">
        <w:rPr>
          <w:rFonts w:ascii="Times New Roman" w:eastAsia="Times New Roman" w:hAnsi="Times New Roman" w:cs="Times New Roman"/>
          <w:i/>
          <w:iCs/>
          <w:lang w:val="sv-SE"/>
        </w:rPr>
        <w:t>availability, accessibility, affordability,</w:t>
      </w:r>
      <w:r w:rsidRPr="00450343">
        <w:rPr>
          <w:rFonts w:ascii="Times New Roman" w:eastAsia="Times New Roman" w:hAnsi="Times New Roman" w:cs="Times New Roman"/>
          <w:lang w:val="sv-SE"/>
        </w:rPr>
        <w:t xml:space="preserve"> dan </w:t>
      </w:r>
      <w:r w:rsidRPr="00450343">
        <w:rPr>
          <w:rFonts w:ascii="Times New Roman" w:eastAsia="Times New Roman" w:hAnsi="Times New Roman" w:cs="Times New Roman"/>
          <w:i/>
          <w:iCs/>
          <w:lang w:val="sv-SE"/>
        </w:rPr>
        <w:t>acceptability</w:t>
      </w:r>
      <w:r>
        <w:rPr>
          <w:rFonts w:ascii="Times New Roman" w:eastAsia="Times New Roman" w:hAnsi="Times New Roman" w:cs="Times New Roman"/>
          <w:lang w:val="sv-SE"/>
        </w:rPr>
        <w:t xml:space="preserve"> </w:t>
      </w:r>
      <w:r w:rsidRPr="00450343">
        <w:rPr>
          <w:rFonts w:ascii="Times New Roman" w:eastAsia="Times New Roman" w:hAnsi="Times New Roman" w:cs="Times New Roman"/>
          <w:lang w:val="sv-SE"/>
        </w:rPr>
        <w:t xml:space="preserve">menjadi salah satu cara paling berpengaruh untuk memahami masalah tersebut karena ia menawarkan bahasa yang sederhana untuk membandingkan kondisi dan kinerja sistem energi </w:t>
      </w:r>
      <w:r w:rsidRPr="00310CCF">
        <w:rPr>
          <w:rFonts w:ascii="Times New Roman" w:eastAsia="Times New Roman" w:hAnsi="Times New Roman" w:cs="Times New Roman"/>
          <w:lang w:val="en-US"/>
        </w:rPr>
        <w:fldChar w:fldCharType="begin"/>
      </w:r>
      <w:r w:rsidRPr="00450343">
        <w:rPr>
          <w:rFonts w:ascii="Times New Roman" w:eastAsia="Times New Roman" w:hAnsi="Times New Roman" w:cs="Times New Roman"/>
          <w:lang w:val="sv-SE"/>
        </w:rPr>
        <w:instrText xml:space="preserve"> ADDIN ZOTERO_ITEM CSL_CITATION {"citationID":"xCi7NKMl","properties":{"unsorted":false,"formattedCitation":"(Ainou, Ali, &amp; Sadiq, 2023; Amin, Chang, Khan, &amp; Taghizadeh-Hesary, 2022; Fouladvand, 2022; Ye dkk., 2025)","plainCitation":"(Ainou, Ali, &amp; Sadiq, 2023; Amin, Chang, Khan, &amp; Taghizadeh-Hesary, 2022; Fouladvand, 2022; Ye dkk., 2025)","noteIndex":0},"citationItems":[{"id":12130,"uris":["http://zotero.org/users/10066221/items/4VFS7NL9"],"itemData":{"id":12130,"type":"article-journal","abstract":"Morocco is an energy-deficient country depending on almost 94% of energy imports to fuel its growing economy. Due to its fast-growing population, Morocco’s energy consumption is projected to increase significantly, adding more pressure on the energy system. On the other hand, the rising tension of scarcity of resources, energy price fluctuations, and environmental issues have all made energy security one of its top priorities. Therefore, Morocco launched the National Energy Strategy (NES) in 2009 to reach 42% renewable generation by 2020, which was renewed to up to 52% by 2050. This study analyzes Morocco’s energy security under the 4-As framework from 2000 to 2016.The 4-As methodology aims to assess and graphically illustrate the changes in Morocco’s energy security by mapping these changes into four key dimensions: the availability of energy resources, the applicability of technology, the acceptability by the environment and society, and the affordability of energy resources. The quantitative analysis shows that Morocco’s energy security performance was at its optimum during the first period of study (2000–2004) but then regressed for the remainder of the study period, as energy imports and prices increased, in addition to the low performance in applicability characterized by low energy efficiency. To improve Morocco’s energy security status and move toward a sustainable energy transition, this study suggests integrating a higher share of renewable energy into the energy mix and boosting efficient technologies through a large scale of green finance and green investment projects.","container-title":"Environmental Science and Pollution Research","DOI":"10.1007/s11356-022-19153-7","ISSN":"1614-7499","issue":"22","journalAbbreviation":"Environ Sci Pollut Res","language":"en","page":"61411-61429","source":"Springer Link","title":"Green energy security assessment in Morocco: green finance as a step toward sustainable energy transition","title-short":"Green energy security assessment in Morocco","volume":"30","author":[{"family":"Ainou","given":"Fatima Zahra"},{"family"</w:instrText>
      </w:r>
      <w:r>
        <w:rPr>
          <w:rFonts w:ascii="Times New Roman" w:eastAsia="Times New Roman" w:hAnsi="Times New Roman" w:cs="Times New Roman"/>
          <w:lang w:val="en-US"/>
        </w:rPr>
        <w:instrText xml:space="preserve">:"Ali","given":"Mohsin"},{"family":"Sadiq","given":"Muhammad"}],"issued":{"date-parts":[["2023",5,1]]}}},{"id":12128,"uris":["http://zotero.org/users/10066221/items/WUB9KWB3"],"itemData":{"id":12128,"type":"article-journal","abstract":"Energy security is considered the constituent element of sustainable development for an emerging country like Bangladesh. We aim to investigate Bangladesh's energy security level by employing the 4As framework from 2014 to 2019. We reveal that Bangladesh's energy security showed a declining trend from 2014 and reached a minimum in 2016. However, from 2017 onwards, it started to show an improving trend compared to 2014. The improvements mainly come from the Availability and Applicability dimensions; however, the Acceptability and Affordability dimensions still show that country is yet to achieve proper energy security. We argue that despite the recent success in the energy sector and the subsequent improvement in the energy security level, further concrete policy initiatives are required for sustainable energy security in the long-run. We recommend symmetrical improvement policies in all of the 4As dimensions for future sustainable energy security in Bangladesh.","container-title":"Energy Policy","DOI":"10.1016/j.enpol.2021.112719","ISSN":"0301-4215","journalAbbreviation":"Energy Policy","page":"112719","source":"ScienceDirect","title":"Energy security and sustainable energy policy in Bangladesh: From the lens of 4As framework","title-short":"Energy security and sustainable energy policy in Bangladesh","volume":"161","author":[{"family":"Amin","given":"Sakib Bin"},{"family":"Chang","given":"Youngho"},{"family":"Khan","given":"Farhan"},{"family":"Taghizadeh-Hesary","given":"Farhad"}],"issued":{"date-parts":[["2022",2,1]]}}},{"id":12131,"uris":["http://zotero.org/users/10066221/items/EV226NV6"],"itemData":{"id":12131,"type":"article-journal","abstract":"Community energy systems as decentralized and collective renewable energy systems, where the energy is jointly generated and distributed among a community of households, are gaining momentum. The collective action of individual households as a core characteristic of such energy systems influences the energy availability, energy costs, and eventually, their energy security. This study investigates the influence of individual households' behavioural attributes on the energy security of such collective energy systems. An agent-based model was built based on the following energy security dimensions: availability, affordability, accessibility and acceptability, referred to as the 4A's concept. The research focused on thermal energy communities given the considerable share of thermal energy applications, such as heating, cooling, and hot tap water. The simulation results demonstrated that such communities could cost around 1250 €/year while reducing their CO2 emissions by 50% on average. Environmentally friendly behaviour leads to higher energy security performances. Such behaviours considerably influence the technical configurations while contributing positively to affordability and acceptability dimensions of collective energy security of thermal energy systems. Furthermore, the investment size of individual households was found to be the most influential parameter for energy security performances, while natural gas prices were identified as the least impactful parameter.","container-title":"Energy","DOI":"10.1016/j.energy.2022.125353","ISSN":"0360-5442","journalAbbreviation":"Energy","page":"125353","source":"ScienceDirect","title":"Behavioural attributes towards collective energy security in thermal energy communities: Environmental-friendly behaviour matters","title-short":"Behavioural attributes towards collective energy security in thermal energy communities","volume":"261","author":[{"family":"Fouladvand","given":"Javanshir"}],"issued":{"date-parts":[["2022",12,15]]}}},{"id":12134,"uris":["http://zotero.org/users/10066221/items/FULCTTWF"],"itemData":{"id":12134,"type":"article-journal","container-title":"Energy","DOI":"10.1016/j.energy.2025.135261","ISSN":"03605442","journalAbbreviation":"Energy","language":"en","page":"135261","source":"DOI.org (Crossref)","title":"Energy demand security in OPEC+ countries: A revised 4As framework beyond supply security","title-short":"Energy demand security in OPEC+ countries","volume":"320","author":[{"family":"Ye","given":"Ruike"},{"family":"Yang","given":"Xirui"},{"family":"Zhou","given":"Yunheng"},{"family":"Lin","given":"Changfeng"},{"family":"Chen","given":"Yiming"},{"family":"Chen","given":"Jiawei"},{"family":"Bian","given":"Mengying"}],"issued":{"date-parts":[["2025",4]]}}}],"schema":"https://github.com/citation-style-language/schema/raw/master/csl-citation.json"} </w:instrText>
      </w:r>
      <w:r w:rsidRPr="00310CCF">
        <w:rPr>
          <w:rFonts w:ascii="Times New Roman" w:eastAsia="Times New Roman" w:hAnsi="Times New Roman" w:cs="Times New Roman"/>
          <w:lang w:val="en-US"/>
        </w:rPr>
        <w:fldChar w:fldCharType="separate"/>
      </w:r>
      <w:r w:rsidRPr="008F78FE">
        <w:rPr>
          <w:rFonts w:ascii="Times New Roman" w:hAnsi="Times New Roman" w:cs="Times New Roman"/>
          <w:lang w:val="en-US"/>
        </w:rPr>
        <w:t>(Ainou, Ali, &amp; Sadiq, 2023; Amin, Chang, Khan, &amp; Taghizadeh-Hesary, 2022; Fouladvand, 2022; Ye dkk., 2025)</w:t>
      </w:r>
      <w:r w:rsidRPr="00310CCF">
        <w:rPr>
          <w:rFonts w:ascii="Times New Roman" w:eastAsia="Times New Roman" w:hAnsi="Times New Roman" w:cs="Times New Roman"/>
        </w:rPr>
        <w:fldChar w:fldCharType="end"/>
      </w:r>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Meskipun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begitu</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kesederhanaan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ini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secara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tidak</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langsung</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menutupi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persoalan</w:t>
      </w:r>
      <w:proofErr w:type="spellEnd"/>
      <w:r w:rsidRPr="00310CCF">
        <w:rPr>
          <w:rFonts w:ascii="Times New Roman" w:eastAsia="Times New Roman" w:hAnsi="Times New Roman" w:cs="Times New Roman"/>
          <w:lang w:val="en-US"/>
        </w:rPr>
        <w:t xml:space="preserve"> yang </w:t>
      </w:r>
      <w:proofErr w:type="spellStart"/>
      <w:r w:rsidRPr="00310CCF">
        <w:rPr>
          <w:rFonts w:ascii="Times New Roman" w:eastAsia="Times New Roman" w:hAnsi="Times New Roman" w:cs="Times New Roman"/>
          <w:lang w:val="en-US"/>
        </w:rPr>
        <w:t>lebih</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mendasar</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tentang</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energi</w:t>
      </w:r>
      <w:proofErr w:type="spellEnd"/>
      <w:r w:rsidRPr="00310CCF">
        <w:rPr>
          <w:rFonts w:ascii="Times New Roman" w:eastAsia="Times New Roman" w:hAnsi="Times New Roman" w:cs="Times New Roman"/>
          <w:lang w:val="en-US"/>
        </w:rPr>
        <w:t xml:space="preserve"> yang </w:t>
      </w:r>
      <w:proofErr w:type="spellStart"/>
      <w:r w:rsidRPr="00310CCF">
        <w:rPr>
          <w:rFonts w:ascii="Times New Roman" w:eastAsia="Times New Roman" w:hAnsi="Times New Roman" w:cs="Times New Roman"/>
          <w:lang w:val="en-US"/>
        </w:rPr>
        <w:t>aman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bagi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siapa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nilai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apa</w:t>
      </w:r>
      <w:proofErr w:type="spellEnd"/>
      <w:r w:rsidRPr="00310CCF">
        <w:rPr>
          <w:rFonts w:ascii="Times New Roman" w:eastAsia="Times New Roman" w:hAnsi="Times New Roman" w:cs="Times New Roman"/>
          <w:lang w:val="en-US"/>
        </w:rPr>
        <w:t xml:space="preserve"> yang </w:t>
      </w:r>
      <w:proofErr w:type="spellStart"/>
      <w:r w:rsidRPr="00310CCF">
        <w:rPr>
          <w:rFonts w:ascii="Times New Roman" w:eastAsia="Times New Roman" w:hAnsi="Times New Roman" w:cs="Times New Roman"/>
          <w:lang w:val="en-US"/>
        </w:rPr>
        <w:t>hendak</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dilindungi</w:t>
      </w:r>
      <w:proofErr w:type="spellEnd"/>
      <w:r w:rsidRPr="00310CCF">
        <w:rPr>
          <w:rFonts w:ascii="Times New Roman" w:eastAsia="Times New Roman" w:hAnsi="Times New Roman" w:cs="Times New Roman"/>
          <w:lang w:val="en-US"/>
        </w:rPr>
        <w:t xml:space="preserve">, dan </w:t>
      </w:r>
      <w:proofErr w:type="spellStart"/>
      <w:r w:rsidRPr="00310CCF">
        <w:rPr>
          <w:rFonts w:ascii="Times New Roman" w:eastAsia="Times New Roman" w:hAnsi="Times New Roman" w:cs="Times New Roman"/>
          <w:lang w:val="en-US"/>
        </w:rPr>
        <w:t>dari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ancaman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macam</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apa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sistem</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tersebut</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harus</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diamankan</w:t>
      </w:r>
      <w:proofErr w:type="spellEnd"/>
      <w:r w:rsidRPr="00310CCF">
        <w:rPr>
          <w:rFonts w:ascii="Times New Roman" w:eastAsia="Times New Roman" w:hAnsi="Times New Roman" w:cs="Times New Roman"/>
          <w:lang w:val="en-US"/>
        </w:rPr>
        <w:t xml:space="preserve">. </w:t>
      </w:r>
      <w:r w:rsidRPr="00450343">
        <w:rPr>
          <w:rFonts w:ascii="Times New Roman" w:eastAsia="Times New Roman" w:hAnsi="Times New Roman" w:cs="Times New Roman"/>
          <w:lang w:val="sv-SE"/>
        </w:rPr>
        <w:t xml:space="preserve">Seperti diamati oleh Cherp dan Jewell </w:t>
      </w:r>
      <w:r w:rsidRPr="00310CCF">
        <w:rPr>
          <w:rFonts w:ascii="Times New Roman" w:eastAsia="Times New Roman" w:hAnsi="Times New Roman" w:cs="Times New Roman"/>
          <w:lang w:val="en-US"/>
        </w:rPr>
        <w:fldChar w:fldCharType="begin"/>
      </w:r>
      <w:r w:rsidRPr="00450343">
        <w:rPr>
          <w:rFonts w:ascii="Times New Roman" w:eastAsia="Times New Roman" w:hAnsi="Times New Roman" w:cs="Times New Roman"/>
          <w:lang w:val="sv-SE"/>
        </w:rPr>
        <w:instrText xml:space="preserve"> ADDIN ZOTERO_ITEM CSL_CITATION {"citationID":"6FfVu92c","properties":{"unsorted":false,"formattedCitation":"(2014)","plainCitation":"(2014)","noteIndex":0},"citationItems":[{"id":12082,"uris":["http://zotero.org/users/10066221/items/T5QEHJLX"],"itemData":{"id":12082,"type":"article-journal","container-title":"Energy Policy","DOI":"10.1016/j.enpol.2014.09.005","ISSN":"03014215","journalAbbreviation":"Energy Policy","language":"en","page":"415-421","source":"DOI.org (Crossref)","title":"The concept of energy security: Beyond the four A's","title-short":"The concept of energy security","volume":"75","author":[{"family":"Cherp","given":"Aleh"},{"family":"Jewell","given":"Jessica"}],"issued":{"date-parts":[["2014",12]]}},"suppress-author":true}],"schema":"https://github.com/citation-style-language/schema/raw/master/csl-citation.json"} </w:instrText>
      </w:r>
      <w:r w:rsidRPr="00310CCF">
        <w:rPr>
          <w:rFonts w:ascii="Times New Roman" w:eastAsia="Times New Roman" w:hAnsi="Times New Roman" w:cs="Times New Roman"/>
          <w:lang w:val="en-US"/>
        </w:rPr>
        <w:fldChar w:fldCharType="separate"/>
      </w:r>
      <w:r w:rsidRPr="00450343">
        <w:rPr>
          <w:rFonts w:ascii="Times New Roman" w:eastAsia="Times New Roman" w:hAnsi="Times New Roman" w:cs="Times New Roman"/>
          <w:lang w:val="sv-SE"/>
        </w:rPr>
        <w:t>(2014)</w:t>
      </w:r>
      <w:r w:rsidRPr="00310CCF">
        <w:rPr>
          <w:rFonts w:ascii="Times New Roman" w:eastAsia="Times New Roman" w:hAnsi="Times New Roman" w:cs="Times New Roman"/>
        </w:rPr>
        <w:fldChar w:fldCharType="end"/>
      </w:r>
      <w:r w:rsidRPr="00450343">
        <w:rPr>
          <w:rFonts w:ascii="Times New Roman" w:eastAsia="Times New Roman" w:hAnsi="Times New Roman" w:cs="Times New Roman"/>
          <w:lang w:val="sv-SE"/>
        </w:rPr>
        <w:t xml:space="preserve">, </w:t>
      </w:r>
      <w:r w:rsidRPr="00450343">
        <w:rPr>
          <w:rFonts w:ascii="Times New Roman" w:eastAsia="Times New Roman" w:hAnsi="Times New Roman" w:cs="Times New Roman"/>
          <w:i/>
          <w:iCs/>
          <w:lang w:val="sv-SE"/>
        </w:rPr>
        <w:t>four A’s</w:t>
      </w:r>
      <w:r w:rsidRPr="00450343">
        <w:rPr>
          <w:rFonts w:ascii="Times New Roman" w:eastAsia="Times New Roman" w:hAnsi="Times New Roman" w:cs="Times New Roman"/>
          <w:lang w:val="sv-SE"/>
        </w:rPr>
        <w:t xml:space="preserve"> lebih menggambarkan karakteristik sistem energi ketimbang menjelaskan nilai manusia yang membuat karakteristik tersebut dianggap penting. Konsekuensinya, kerangka tersebut belum menjelaskan secara memadai hubungan antara karakteristik sistem energi dan kepentingan politik, ekonomi, dan sosial yang hendak dilindunginya.</w:t>
      </w:r>
    </w:p>
    <w:p w14:paraId="5727E71E" w14:textId="77777777" w:rsidR="00BE412A" w:rsidRPr="00E97493" w:rsidRDefault="00BE412A" w:rsidP="00BE412A">
      <w:pPr>
        <w:spacing w:after="0" w:line="240" w:lineRule="auto"/>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 xml:space="preserve">Persoalan demikian terlihat jelas pada konsep </w:t>
      </w:r>
      <w:r w:rsidRPr="00450343">
        <w:rPr>
          <w:rFonts w:ascii="Times New Roman" w:eastAsia="Times New Roman" w:hAnsi="Times New Roman" w:cs="Times New Roman"/>
          <w:i/>
          <w:iCs/>
          <w:lang w:val="sv-SE"/>
        </w:rPr>
        <w:t>affordability</w:t>
      </w:r>
      <w:r w:rsidRPr="00450343">
        <w:rPr>
          <w:rFonts w:ascii="Times New Roman" w:eastAsia="Times New Roman" w:hAnsi="Times New Roman" w:cs="Times New Roman"/>
          <w:lang w:val="sv-SE"/>
        </w:rPr>
        <w:t xml:space="preserve">. Harga energi yang rendah dapat berarti keterjangkauan bagi rumah tangga, daya saing bagi industri, beban impor yang rendah bagi negara, tetapi harga yang cukup tinggi untuk menjamin keuntungan bagi investor. Satu indikator yang sama dengan demikian dapat melayani kepentingan yang berbeda atau bahkan bertentangan </w:t>
      </w:r>
      <w:r w:rsidRPr="00310CCF">
        <w:rPr>
          <w:rFonts w:ascii="Times New Roman" w:eastAsia="Times New Roman" w:hAnsi="Times New Roman" w:cs="Times New Roman"/>
          <w:lang w:val="en-US"/>
        </w:rPr>
        <w:fldChar w:fldCharType="begin"/>
      </w:r>
      <w:r w:rsidRPr="00450343">
        <w:rPr>
          <w:rFonts w:ascii="Times New Roman" w:eastAsia="Times New Roman" w:hAnsi="Times New Roman" w:cs="Times New Roman"/>
          <w:lang w:val="sv-SE"/>
        </w:rPr>
        <w:instrText xml:space="preserve"> ADDIN ZOTERO_ITEM CSL_CITATION {"citationID":"Bzobc6JC","properties":{"unsorted":false,"formattedCitation":"(Cherp &amp; Jewell, 2014)","plainCitation":"(Cherp &amp; Jewell, 2014)","noteIndex":0},"citationItems":[{"id":12082,"uris":["http://zotero.org/users/10066221/items/T5QEHJLX"],"itemData":{"id":12082,"type":"article-journal","container-title":"Energy Policy","DOI":"10.1016/j.enpol.2014.09.005","ISSN":"03014215","journalAbbreviation":"Energy Policy","language":"en","page":"415-421","source":"DOI.org (Crossref)","title":"The concept of energy security: Beyond the four A's","title-short":"The concept of energy security","volume":"75","author":[{"family":"Cherp","given":"Aleh"},{"family":"Jewell","given":"Jessica"}],"issued":{"date-parts":[["2014",12]]}}}],"schema":"https://github.com/citation-style-language/schema/raw/master/csl-citation.json"} </w:instrText>
      </w:r>
      <w:r w:rsidRPr="00310CCF">
        <w:rPr>
          <w:rFonts w:ascii="Times New Roman" w:eastAsia="Times New Roman" w:hAnsi="Times New Roman" w:cs="Times New Roman"/>
          <w:lang w:val="en-US"/>
        </w:rPr>
        <w:fldChar w:fldCharType="separate"/>
      </w:r>
      <w:r w:rsidRPr="00450343">
        <w:rPr>
          <w:rFonts w:ascii="Times New Roman" w:eastAsia="Times New Roman" w:hAnsi="Times New Roman" w:cs="Times New Roman"/>
          <w:lang w:val="sv-SE"/>
        </w:rPr>
        <w:t>(Cherp &amp; Jewell, 2014)</w:t>
      </w:r>
      <w:r w:rsidRPr="00310CCF">
        <w:rPr>
          <w:rFonts w:ascii="Times New Roman" w:eastAsia="Times New Roman" w:hAnsi="Times New Roman" w:cs="Times New Roman"/>
        </w:rPr>
        <w:fldChar w:fldCharType="end"/>
      </w:r>
      <w:r w:rsidRPr="00450343">
        <w:rPr>
          <w:rFonts w:ascii="Times New Roman" w:eastAsia="Times New Roman" w:hAnsi="Times New Roman" w:cs="Times New Roman"/>
          <w:lang w:val="sv-SE"/>
        </w:rPr>
        <w:t xml:space="preserve">. Literatur yang lebih baru memang telah memperluas pengertian ketahanan energi dengan memasukkan dimensi keadilan, tata kelola, demokrasi, perlindungan lingkungan, kedaulatan energi, dan solidaritas </w:t>
      </w:r>
      <w:r w:rsidRPr="00310CCF">
        <w:rPr>
          <w:rFonts w:ascii="Times New Roman" w:eastAsia="Times New Roman" w:hAnsi="Times New Roman" w:cs="Times New Roman"/>
          <w:lang w:val="en-US"/>
        </w:rPr>
        <w:fldChar w:fldCharType="begin"/>
      </w:r>
      <w:r w:rsidRPr="00450343">
        <w:rPr>
          <w:rFonts w:ascii="Times New Roman" w:eastAsia="Times New Roman" w:hAnsi="Times New Roman" w:cs="Times New Roman"/>
          <w:lang w:val="sv-SE"/>
        </w:rPr>
        <w:instrText xml:space="preserve"> ADDIN ZOTERO_ITEM CSL_CITATION {"citationID":"fpfclmeW","properties":{"unsorted":false,"formattedCitation":"(Goldthau &amp; Sovacool, 2012; Paravantis &amp; Kontoulis, 2020; Schmitz, Flachsbarth, Plaga, Braun, &amp; H\\uc0\\u228{}rtel, 2025; Timmermann &amp; Noboa, 2022)","plainCitation":"(Goldthau &amp; Sovacool, 2012; Paravantis &amp; Kontoulis, 2020; Schmitz, Flachsbarth, Plaga, Braun, &amp; Härtel, 2025; Timmermann &amp; Noboa, 2022)","noteIndex":0},"citationItems":[{"id":12089,"uris":["http://zotero.org/users/10066221/items/ADCIFNPP"],"itemData":{"id":12089,"type":"article-journal","container-title":"Energy Policy","DOI":"10.1016/j.enpol.2011.10.042","ISSN":"03014215","journalAbbreviation":"Energy Policy","language":"en","license":"https://www.elsevier.com/tdm/userlicense/1.0/","page":"232-240","source":"DOI.org (Crossref)","title":"The uniqueness of the energy security, justice, and governance problem","volume":"41","author":[{"family":"Goldthau","given":"Andreas"},{"family":"Sovacool","given":"Benjamin K."}],"issued":{"date-parts":[["2012",2]]}}},{"id":12113,"uris":["http://zotero.org/users/10066221/items/N7F2K7KC"],"itemData":{"id":12113,"type":"chapter","container-title":"Renewable Energy - Resources, Challenges and Applications","DOI":"10.5772/intechopen.91848","ISBN":"978-1-78984-283-8","language":"en","license":"https://creativecommons.org/licenses/by/3.0/legalcode","publisher":"IntechOpen","source":"DOI.org (Crossref)","title":"Energy Security and Renewable Energy: A Geopolitical Perspective","title-short":"Energy Security and Renewable En</w:instrText>
      </w:r>
      <w:r>
        <w:rPr>
          <w:rFonts w:ascii="Times New Roman" w:eastAsia="Times New Roman" w:hAnsi="Times New Roman" w:cs="Times New Roman"/>
          <w:lang w:val="en-US"/>
        </w:rPr>
        <w:instrText xml:space="preserve">ergy","URL":"https://www.intechopen.com/books/renewable-energy-resources-challenges-and-applications/energy-security-and-renewable-energy-a-geopolitical-perspective","editor":[{"family":"Al Qubeissi","given":"Mansour"},{"family":"El-kharouf","given":"Ahmad"},{"family":"Serhad Soyhan","given":"Hakan"}],"author":[{"family":"Paravantis","given":"John A."},{"family":"Kontoulis","given":"Nikoletta"}],"accessed":{"date-parts":[["2026",8,28]]},"issued":{"date-parts":[["2020",9,9]]}}},{"id":12123,"uris":["http://zotero.org/users/10066221/items/JZS22Z9I"],"itemData":{"id":12123,"type":"article-journal","container-title":"Energy Policy","DOI":"10.1016/j.enpol.2025.114796","ISSN":"03014215","journalAbbreviation":"Energy Policy","language":"en","page":"114796","source":"DOI.org (Crossref)","title":"Energy security and resilience: Revisiting concepts and advancing planning perspectives for transforming integrated energy systems","title-short":"Energy security and resilience","volume":"207","author":[{"family":"Schmitz","given":"Richard"},{"family":"Flachsbarth","given":"Franziska"},{"family":"Plaga","given":"Leonie Sara"},{"family":"Braun","given":"Martin"},{"family":"Härtel","given":"Philipp"}],"issued":{"date-parts":[["2025",12]]}}},{"id":12136,"uris":["http://zotero.org/users/10066221/items/57BBGPFG"],"itemData":{"id":12136,"type":"article-journal","abstract":"Abstract\n            Achieving energy sovereignty is increasingly gaining prominence as a goal in energy politics. The aim of this paper is to provide a conceptual analysis of this principle from an ethics and social justice perspective. We rely on the literature on food sovereignty to identify through a comparative analysis the elements energy sovereignty will most likely demand and thereafter distinguish the unique constituencies of the energy sector. The idea of energy sovereignty embraces a series of values, among which we identified: (i) accessibility, to allow access to everyone, (ii) empowerment and recognition, to develop and sustain capabilities to collaboratively produce solution-oriented energy system knowledge and effectively participate in governance, (iii) stewardship and sustainability, to be able to design and manage decentralised renewable systems in view of protecting the environment, (iv) self-sufficiency, to reduce the negative shocks of exploitative business practises, (v) resilience, to maintain production capacities while withstanding socioeconomic, political, environmental and climatic shocks, (vi) peace, to establish production systems that do not involve hostile relations, (vii) transparency and self-determination, to establish democratic decision-making mechanisms that give a voice to previously underrepresented groups and limit corporate takeover (viii) gender-justice, by acknowledging the contributions of women and eliminate barriers to their empowerment. With a conceptual framework of energy sovereignty, we present a rationale that draws on the key values to be considered when formulating policy solutions for the energy sector.","container-title":"Science and Engineering Ethics","DOI":"10.1007/s11948-022-00409-x","ISSN":"1353-3452, 1471-5546","issue":"6","journalAbbreviation":"Sci Eng Ethics","language":"en","page":"54","source":"DOI.org (Crossref)","title":"Energy Sovereignty: A Values-Based Conceptual Analysis","title-short":"Energy Sovereignty","volume":"28","author":[{"family":"Timmermann","given":"Cristian"},{"family":"Noboa","given":"Eduardo"}],"issued":{"date-parts":[["2022",12]]}}}],"schema":"https://github.com/citation-style-language/schema/raw/master/csl-citation.json"} </w:instrText>
      </w:r>
      <w:r w:rsidRPr="00310CCF">
        <w:rPr>
          <w:rFonts w:ascii="Times New Roman" w:eastAsia="Times New Roman" w:hAnsi="Times New Roman" w:cs="Times New Roman"/>
          <w:lang w:val="en-US"/>
        </w:rPr>
        <w:fldChar w:fldCharType="separate"/>
      </w:r>
      <w:r w:rsidRPr="008F78FE">
        <w:rPr>
          <w:rFonts w:ascii="Times New Roman" w:hAnsi="Times New Roman" w:cs="Times New Roman"/>
        </w:rPr>
        <w:t>(Goldthau &amp; Sovacool, 2012; Paravantis &amp; Kontoulis, 2020; Schmitz, Flachsbarth, Plaga, Braun, &amp; Härtel, 2025; Timmermann &amp; Noboa, 2022)</w:t>
      </w:r>
      <w:r w:rsidRPr="00310CCF">
        <w:rPr>
          <w:rFonts w:ascii="Times New Roman" w:eastAsia="Times New Roman" w:hAnsi="Times New Roman" w:cs="Times New Roman"/>
        </w:rPr>
        <w:fldChar w:fldCharType="end"/>
      </w:r>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Namun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perluasan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tersebut</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belum</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sepenuhnya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menyelesaikan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persoalan</w:t>
      </w:r>
      <w:proofErr w:type="spellEnd"/>
      <w:r w:rsidRPr="00310CCF">
        <w:rPr>
          <w:rFonts w:ascii="Times New Roman" w:eastAsia="Times New Roman" w:hAnsi="Times New Roman" w:cs="Times New Roman"/>
          <w:lang w:val="en-US"/>
        </w:rPr>
        <w:t xml:space="preserve"> yang </w:t>
      </w:r>
      <w:proofErr w:type="spellStart"/>
      <w:r w:rsidRPr="00310CCF">
        <w:rPr>
          <w:rFonts w:ascii="Times New Roman" w:eastAsia="Times New Roman" w:hAnsi="Times New Roman" w:cs="Times New Roman"/>
          <w:lang w:val="en-US"/>
        </w:rPr>
        <w:t>sama</w:t>
      </w:r>
      <w:proofErr w:type="spellEnd"/>
      <w:r w:rsidRPr="00310CCF">
        <w:rPr>
          <w:rFonts w:ascii="Times New Roman" w:eastAsia="Times New Roman" w:hAnsi="Times New Roman" w:cs="Times New Roman"/>
          <w:lang w:val="en-US"/>
        </w:rPr>
        <w:t xml:space="preserve">. </w:t>
      </w:r>
      <w:r w:rsidRPr="00310CCF">
        <w:rPr>
          <w:rFonts w:ascii="Times New Roman" w:eastAsia="Times New Roman" w:hAnsi="Times New Roman" w:cs="Times New Roman"/>
          <w:i/>
          <w:iCs/>
          <w:lang w:val="en-US"/>
        </w:rPr>
        <w:t>Acceptability</w:t>
      </w:r>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misalnya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masih</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kerap</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diterjemahkan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ke</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dalam</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indikator</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teknis</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seperti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emisi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atau</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proporsi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energi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terbarukan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sementara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nilai</w:t>
      </w:r>
      <w:proofErr w:type="spellEnd"/>
      <w:r w:rsidRPr="00310CCF">
        <w:rPr>
          <w:rFonts w:ascii="Times New Roman" w:eastAsia="Times New Roman" w:hAnsi="Times New Roman" w:cs="Times New Roman"/>
          <w:lang w:val="en-US"/>
        </w:rPr>
        <w:t xml:space="preserve"> dan norma yang </w:t>
      </w:r>
      <w:proofErr w:type="spellStart"/>
      <w:r w:rsidRPr="00310CCF">
        <w:rPr>
          <w:rFonts w:ascii="Times New Roman" w:eastAsia="Times New Roman" w:hAnsi="Times New Roman" w:cs="Times New Roman"/>
          <w:lang w:val="en-US"/>
        </w:rPr>
        <w:t>membuat</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suatu</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masyarakat</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menerima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menolak</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atau</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membatasi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cara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tertentu</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dalam</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mengelola</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energi</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tetap</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berada</w:t>
      </w:r>
      <w:proofErr w:type="spellEnd"/>
      <w:r w:rsidRPr="00310CCF">
        <w:rPr>
          <w:rFonts w:ascii="Times New Roman" w:eastAsia="Times New Roman" w:hAnsi="Times New Roman" w:cs="Times New Roman"/>
          <w:lang w:val="en-US"/>
        </w:rPr>
        <w:t xml:space="preserve"> di </w:t>
      </w:r>
      <w:proofErr w:type="spellStart"/>
      <w:r w:rsidRPr="00310CCF">
        <w:rPr>
          <w:rFonts w:ascii="Times New Roman" w:eastAsia="Times New Roman" w:hAnsi="Times New Roman" w:cs="Times New Roman"/>
          <w:lang w:val="en-US"/>
        </w:rPr>
        <w:t>luar</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perhatian</w:t>
      </w:r>
      <w:proofErr w:type="spellEnd"/>
      <w:r w:rsidRPr="00310CCF">
        <w:rPr>
          <w:rFonts w:ascii="Times New Roman" w:eastAsia="Times New Roman" w:hAnsi="Times New Roman" w:cs="Times New Roman"/>
          <w:lang w:val="en-US"/>
        </w:rPr>
        <w:t xml:space="preserve"> </w:t>
      </w:r>
      <w:proofErr w:type="spellStart"/>
      <w:r w:rsidRPr="00310CCF">
        <w:rPr>
          <w:rFonts w:ascii="Times New Roman" w:eastAsia="Times New Roman" w:hAnsi="Times New Roman" w:cs="Times New Roman"/>
          <w:lang w:val="en-US"/>
        </w:rPr>
        <w:t>analisis</w:t>
      </w:r>
      <w:proofErr w:type="spellEnd"/>
      <w:r w:rsidRPr="00310CCF">
        <w:rPr>
          <w:rFonts w:ascii="Times New Roman" w:eastAsia="Times New Roman" w:hAnsi="Times New Roman" w:cs="Times New Roman"/>
          <w:lang w:val="en-US"/>
        </w:rPr>
        <w:t xml:space="preserve"> </w:t>
      </w:r>
      <w:r w:rsidRPr="00310CCF">
        <w:rPr>
          <w:rFonts w:ascii="Times New Roman" w:eastAsia="Times New Roman" w:hAnsi="Times New Roman" w:cs="Times New Roman"/>
          <w:lang w:val="en-US"/>
        </w:rPr>
        <w:fldChar w:fldCharType="begin"/>
      </w:r>
      <w:r w:rsidRPr="00310CCF">
        <w:rPr>
          <w:rFonts w:ascii="Times New Roman" w:eastAsia="Times New Roman" w:hAnsi="Times New Roman" w:cs="Times New Roman"/>
          <w:lang w:val="en-US"/>
        </w:rPr>
        <w:instrText xml:space="preserve"> ADDIN ZOTERO_ITEM CSL_CITATION {"citationID":"fhxT1OZf","properties":{"unsorted":false,"formattedCitation":"(Siksnelyte-Butkiene, 2023)","plainCitation":"(Siksnelyte-Butkiene, 2023)","noteIndex":0},"citationItems":[{"id":12126,"uris":["http://zotero.org/users/10066221/items/DBZ35HYA"],"itemData":{"id":12126,"type":"article-journal","abstract":"Energy security is recognized as a key element for the successful functioning of an entire energy system. However, the perception of energy security is contextual and there is no universally accepted definition of the concept. The current global concerns about climate change, human welfare and energy market challenges due to the COVID-19 pandemic, military conflicts, various geopolitical issues and scarcity of energy res</w:instrText>
      </w:r>
      <w:r w:rsidRPr="00E97493">
        <w:rPr>
          <w:rFonts w:ascii="Times New Roman" w:eastAsia="Times New Roman" w:hAnsi="Times New Roman" w:cs="Times New Roman"/>
          <w:lang w:val="sv-SE"/>
        </w:rPr>
        <w:instrText xml:space="preserve">ources have affected the perception of the energy security concept as well. The research aims to define how energy security is perceived amid current global concerns and to identify the essential components. The four-tiered research methodology was developed and applied to determine the current perception of energy security. While the systematic literature review was conducted according to the SALSA (Search, Appraisal, Synthesis and Analysis) framework, it was found that the current perception of energy security consists of seven main components, these are: Availability, Affordability, Environmental Impact, Social Impact, Geopolitical Relationships, Government Effectiveness and Technological Development. The paper contributes to discourse development and clarification of perception of energy security and will be useful for further research, both dealing with the concept of energy security itself and developing composite indicators for energy security assessment.","container-title":"Economies","DOI":"10.3390/economies11070174","ISSN":"2227-7099","issue":"7","journalAbbreviation":"Economies","language":"en","page":"174","source":"DOI.org (Crossref)","title":"Defining the Perception of Energy Security: An Overview","title-short":"Defining the Perception of Energy Security","volume":"11","author":[{"family":"Siksnelyte-Butkiene","given":"Indre"}],"issued":{"date-parts":[["2023",6,25]]}}}],"schema":"https://github.com/citation-style-language/schema/raw/master/csl-citation.json"} </w:instrText>
      </w:r>
      <w:r w:rsidRPr="00310CCF">
        <w:rPr>
          <w:rFonts w:ascii="Times New Roman" w:eastAsia="Times New Roman" w:hAnsi="Times New Roman" w:cs="Times New Roman"/>
          <w:lang w:val="en-US"/>
        </w:rPr>
        <w:fldChar w:fldCharType="separate"/>
      </w:r>
      <w:r w:rsidRPr="00E97493">
        <w:rPr>
          <w:rFonts w:ascii="Times New Roman" w:eastAsia="Times New Roman" w:hAnsi="Times New Roman" w:cs="Times New Roman"/>
          <w:lang w:val="sv-SE"/>
        </w:rPr>
        <w:t>(Siksnelyte-Butkiene, 2023)</w:t>
      </w:r>
      <w:r w:rsidRPr="00310CCF">
        <w:rPr>
          <w:rFonts w:ascii="Times New Roman" w:eastAsia="Times New Roman" w:hAnsi="Times New Roman" w:cs="Times New Roman"/>
        </w:rPr>
        <w:fldChar w:fldCharType="end"/>
      </w:r>
      <w:r w:rsidRPr="00E97493">
        <w:rPr>
          <w:rFonts w:ascii="Times New Roman" w:eastAsia="Times New Roman" w:hAnsi="Times New Roman" w:cs="Times New Roman"/>
          <w:lang w:val="sv-SE"/>
        </w:rPr>
        <w:t>.</w:t>
      </w:r>
    </w:p>
    <w:p w14:paraId="7B289BA4" w14:textId="77777777" w:rsidR="00084FED" w:rsidRPr="00BA270B" w:rsidRDefault="00BE412A" w:rsidP="00084FED">
      <w:pPr>
        <w:spacing w:after="0"/>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 xml:space="preserve">Masalahnya bukan bahwa satu dimensi ketahanan energi, yaitu nilai dan norma, belum ditambahkan. Yang lebih penting adalah lokus pembentukan perilaku tata kelola energi belum cukup dijelaskan. Hal ini signifikan karena sistem energi tidak bekerja hanya melalui infrastruktur fisik (misalnya, teknologi) dan kebijakan formal saja, melainkan juga bergantung pada tindakan manusia yang mengelola sumber daya, membuat keputusan, menjalankan aturan, mengawasi penyimpangan, dan menentukan apakah kepentingan jangka pendek boleh mengalahkan kepentingan bersama. Dengan kata lain, ketahanan sistem material juga memiliki kondisi sosial dan normatif. Literatur tentang tata kelola sumber daya menunjukkan bahwa aturan formal sering bekerja beriringan dengan norma informal, pengetahuan lokal, kepercayaan, sanksi sosial, dan mekanisme pengambilan keputusan kolektif </w:t>
      </w:r>
      <w:r w:rsidRPr="00310CCF">
        <w:rPr>
          <w:rFonts w:ascii="Times New Roman" w:eastAsia="Times New Roman" w:hAnsi="Times New Roman" w:cs="Times New Roman"/>
          <w:lang w:val="en-US"/>
        </w:rPr>
        <w:fldChar w:fldCharType="begin"/>
      </w:r>
      <w:r w:rsidRPr="00450343">
        <w:rPr>
          <w:rFonts w:ascii="Times New Roman" w:eastAsia="Times New Roman" w:hAnsi="Times New Roman" w:cs="Times New Roman"/>
          <w:lang w:val="sv-SE"/>
        </w:rPr>
        <w:instrText xml:space="preserve"> ADDIN ZOTERO_ITEM CSL_CITATION {"citationID":"zUWVaqrl","properties":{"unsorted":false,"formattedCitation":"(Po, Saint Ville, Rahman, &amp; Hickey, 2019; Schnegg, 2018; Yeboah-Assiamah, Muller, &amp; Domfeh, 2019)","plainCitation":"(Po, Saint Ville, Rahman, &amp; Hickey, 2019; Schnegg, 2018; Yeboah-Assiamah, Muller, &amp; Domfeh, 2019)","noteIndex":0},"citationItems":[{"id":12115,"uris":["http://zotero.org/users/10066221/items/NZ24AN5Y"],"itemData":{"id":12115,"type":"article-journal","container-title":"Society &amp; Natural Resources","DOI":"10.1080/08941920.2019.1667463","ISSN":"0894-1920, 1521-0723","issue":"12","journalAbbreviation":"Society &amp; Natural Resources","language":"en","page":"1333-1343","source":"DOI.org (Crossref)","title":"On Institutional Diversity and Interplay in Natural Resource Governance","volume":"32","author":[{"family":"Po","given":"June Y. T."},{"family":"Saint Ville","given":"Arlette S."},{"family":"Rahman","given":"H. M. Tuih</w:instrText>
      </w:r>
      <w:r w:rsidRPr="00975F8F">
        <w:rPr>
          <w:rFonts w:ascii="Times New Roman" w:eastAsia="Times New Roman" w:hAnsi="Times New Roman" w:cs="Times New Roman"/>
          <w:lang w:val="sv-SE"/>
        </w:rPr>
        <w:instrText>edur"},{"family":"Hickey","given":"Gordon M."}],"issued":{"date-parts":[["2019",12,2]]}}},{"id":12125,"uris":["http://zotero.org/users/10066221/items/AJ67AD94"],"itemData":{"id":12125,"type":"article-journal","container-title":"Sustainability Science","DOI":"10.1007/s11625-018-0549-2","ISSN":"1862-4065, 1862-4057","issue":"4","journalAbbreviation":"Sustain Sci","language":"en","page":"1017-1030","source":"DOI.org (Crossref)","title":"Institutional multiplexity: social networks and community-based natural resource management","title-short":"Institutional multiplexity","volume":"13","author":[{"family":"Schnegg","given":"Michael"}],"issued":{"date-parts":[["2018",7]]}}},{"id":12138,"uris":["http://zotero.org/users/10066221/items/I6NPTY8J"],"itemData":{"id":12138,"type":"article-journal","container-title":"Society &amp; Natural Resources","DOI":"10.1080/08941920.2019.1647320","ISSN":"0894-1920, 1521-0723","issue":"12","journalAbbreviation":"Society &amp; Natural Resources","language":"en","page":"1364-1382","source":"DOI.org (Crossref)","title":"Two Sides of the Same Coin: Formal and Informal Institutional Synergy in a Case Study of Wildlife Governance in Ghana","title-short":"Two Sides</w:instrText>
      </w:r>
      <w:r w:rsidRPr="00BA270B">
        <w:rPr>
          <w:rFonts w:ascii="Times New Roman" w:eastAsia="Times New Roman" w:hAnsi="Times New Roman" w:cs="Times New Roman"/>
          <w:lang w:val="sv-SE"/>
        </w:rPr>
        <w:instrText xml:space="preserve"> of the Same Coin","volume":"32","author":[{"family":"Yeboah-Assiamah","given":"Emmanuel"},{"family":"Muller","given":"Kobus"},{"family":"Domfeh","given":"Kwame Ameyaw"}],"issued":{"date-parts":[["2019",12,2]]}}}],"schema":"https://github.com/citation-style-language/schema/raw/master/csl-citation.json"} </w:instrText>
      </w:r>
      <w:r w:rsidRPr="00310CCF">
        <w:rPr>
          <w:rFonts w:ascii="Times New Roman" w:eastAsia="Times New Roman" w:hAnsi="Times New Roman" w:cs="Times New Roman"/>
          <w:lang w:val="en-US"/>
        </w:rPr>
        <w:fldChar w:fldCharType="separate"/>
      </w:r>
      <w:r w:rsidRPr="00BA270B">
        <w:rPr>
          <w:rFonts w:ascii="Times New Roman" w:hAnsi="Times New Roman" w:cs="Times New Roman"/>
          <w:lang w:val="sv-SE"/>
        </w:rPr>
        <w:t>(Po, Saint Ville, Rahman, &amp; Hickey, 2019; Schnegg, 2018; Yeboah-Assiamah, Muller, &amp; Domfeh, 2019)</w:t>
      </w:r>
      <w:r w:rsidRPr="00310CCF">
        <w:rPr>
          <w:rFonts w:ascii="Times New Roman" w:eastAsia="Times New Roman" w:hAnsi="Times New Roman" w:cs="Times New Roman"/>
        </w:rPr>
        <w:fldChar w:fldCharType="end"/>
      </w:r>
      <w:r w:rsidRPr="00BA270B">
        <w:rPr>
          <w:rFonts w:ascii="Times New Roman" w:eastAsia="Times New Roman" w:hAnsi="Times New Roman" w:cs="Times New Roman"/>
          <w:lang w:val="sv-SE"/>
        </w:rPr>
        <w:t xml:space="preserve">. </w:t>
      </w:r>
    </w:p>
    <w:p w14:paraId="30DA5AAB" w14:textId="5A422F06" w:rsidR="00BE412A" w:rsidRPr="00BA270B" w:rsidRDefault="00084FED" w:rsidP="00084FED">
      <w:pPr>
        <w:spacing w:after="0"/>
        <w:ind w:firstLine="709"/>
        <w:jc w:val="both"/>
        <w:rPr>
          <w:rFonts w:ascii="Times New Roman" w:hAnsi="Times New Roman" w:cs="Times New Roman"/>
          <w:lang w:val="sv-SE"/>
        </w:rPr>
      </w:pPr>
      <w:r w:rsidRPr="00BA270B">
        <w:rPr>
          <w:rFonts w:ascii="Times New Roman" w:hAnsi="Times New Roman" w:cs="Times New Roman"/>
          <w:lang w:val="sv-SE"/>
        </w:rPr>
        <w:t xml:space="preserve">Helmke dan Levitsky (2004) mendefinisikan institusi informal sebagai aturan yang dimiliki bersama secara sosial, umumnya tidak tertulis, serta dibuat, dikomunikasikan, dan ditegakkan di luar saluran resmi. Definisi ini penting karena membedakan institusi informal dari sekadar nilai atau kebiasaan: suatu nilai baru berfungsi sebagai institusi ketika ia menghasilkan ekspektasi perilaku yang ditegakkan secara sosial. </w:t>
      </w:r>
      <w:r w:rsidR="00BE412A" w:rsidRPr="00450343">
        <w:rPr>
          <w:rFonts w:ascii="Times New Roman" w:eastAsia="Times New Roman" w:hAnsi="Times New Roman" w:cs="Times New Roman"/>
          <w:lang w:val="sv-SE"/>
        </w:rPr>
        <w:t xml:space="preserve">Dalam kondisi tertentu, institusi informal bahkan dapat melengkapi atau menggantikan fungsi aturan formal ketika kapasitas formal terbatas </w:t>
      </w:r>
      <w:r w:rsidR="00BE412A" w:rsidRPr="00310CCF">
        <w:rPr>
          <w:rFonts w:ascii="Times New Roman" w:eastAsia="Times New Roman" w:hAnsi="Times New Roman" w:cs="Times New Roman"/>
          <w:lang w:val="en-US"/>
        </w:rPr>
        <w:fldChar w:fldCharType="begin"/>
      </w:r>
      <w:r w:rsidR="00BE412A" w:rsidRPr="00450343">
        <w:rPr>
          <w:rFonts w:ascii="Times New Roman" w:eastAsia="Times New Roman" w:hAnsi="Times New Roman" w:cs="Times New Roman"/>
          <w:lang w:val="sv-SE"/>
        </w:rPr>
        <w:instrText xml:space="preserve"> ADDIN ZOTERO_ITEM CSL_CITATION {"citationID":"nLRRwNam","properties":{"unsorted":false,"formattedCitation":"(Jibat, Senbeta, Zeleke, &amp; Hagos, 2023; Yami, Vogl, &amp; Hauser, 2009)","plainCitation":"(Jibat, Senbeta, Zeleke, &amp; Hagos, 2023; Yami, Vogl, &amp; Hauser, 2009)","noteIndex":0},"citationItems":[{"id":12090,"uris":["http://zotero.org/users/10066221/items/5WEWBBA2"],"itemData":{"id":12090,"type":"article-journal","abstract":"Background Institutions can play a key role in coordinating how natural resources are effectively managed and used without over-exploitation. Institutions are laws, policies, and organizational arrangements that permit, forbid or regulate human action. This study aimed to look into the roles of formal and informal institutions, and their interactions in water resources governance in the Central Rift Valley (CRV), Ethiopia. Methods Key informant interviews, focus group discussions, and secondary data sources were employed to collect relevant data. Results The result of the study indicated that the influence of informal institutions on formal institutions or vice versa was insignificant, and unable to change the actions of water users in the CRV. Other limitations observed in water resources governance in the CRV include a lack of actors’ clear roles and responsibilities, absence of meaningful decentralization, limited en</w:instrText>
      </w:r>
      <w:r w:rsidR="00BE412A" w:rsidRPr="00BA270B">
        <w:rPr>
          <w:rFonts w:ascii="Times New Roman" w:eastAsia="Times New Roman" w:hAnsi="Times New Roman" w:cs="Times New Roman"/>
          <w:lang w:val="sv-SE"/>
        </w:rPr>
        <w:instrText>gagement of key actors in policy development, lack of synergy between the institutions, and absence of enforcement mechanisms. Conclusion Considering the local contexts and community’s traditional knowledge of water governance in water-related policy, rules, and regulations, and enhancing the ca</w:instrText>
      </w:r>
      <w:r w:rsidR="00BE412A" w:rsidRPr="00E97493">
        <w:rPr>
          <w:rFonts w:ascii="Times New Roman" w:eastAsia="Times New Roman" w:hAnsi="Times New Roman" w:cs="Times New Roman"/>
          <w:lang w:val="sv-SE"/>
        </w:rPr>
        <w:instrText xml:space="preserve">pacity of local-level institutions, strong interplay among all institutions involved in water governance, and meaningful actors’ engagement were recommended to advance the role of institutions in water resources governance in the CRV and in the country.","container-title":"F1000Research","DOI":"10.12688/f1000research.138939.1","ISSN":"2046-1402","journalAbbreviation":"F1000Res","language":"en","page":"1434","source":"DOI.org (Crossref)","title":"The role and interplay of institutions in water governance in the Central Rift Valley of Ethiopia","volume":"12","author":[{"family":"Jibat","given":"Endalew"},{"family":"Senbeta","given":"Feyera"},{"family":"Zeleke","given":"Tesfaye"},{"family":"Hagos","given":"Fitsum"}],"issued":{"date-parts":[["2023",11,6]]}}},{"id":12139,"uris":["http://zotero.org/users/10066221/items/J9FQGIK7"],"itemData":{"id":12139,"type":"article-journal","container-title":"Conservation and Society","DOI":"10.4103/0972-4923.64731","ISSN":"0972-4923","issue":"3","journalAbbreviation":"Conservat Soc","language":"en","page":"153","source":"DOI.org (Crossref)","title":"Comparing the Effectiveness of Informal and Formal Institutions in Sustainable Common Pool Resources Management in Sub-Saharan Africa","volume":"7","author":[{"family":"Yami","given":"Mastewal"},{"family":"Vogl","given":"Christian"},{"family":"Hauser","given":"Michael"}],"issued":{"date-parts":[["2009"]]}}}],"schema":"https://github.com/citation-style-language/schema/raw/master/csl-citation.json"} </w:instrText>
      </w:r>
      <w:r w:rsidR="00BE412A" w:rsidRPr="00310CCF">
        <w:rPr>
          <w:rFonts w:ascii="Times New Roman" w:eastAsia="Times New Roman" w:hAnsi="Times New Roman" w:cs="Times New Roman"/>
          <w:lang w:val="en-US"/>
        </w:rPr>
        <w:fldChar w:fldCharType="separate"/>
      </w:r>
      <w:r w:rsidR="00BE412A" w:rsidRPr="00E97493">
        <w:rPr>
          <w:rFonts w:ascii="Times New Roman" w:hAnsi="Times New Roman" w:cs="Times New Roman"/>
          <w:lang w:val="sv-SE"/>
        </w:rPr>
        <w:t>(Jibat, Senbeta, Zeleke, &amp; Hagos, 2023; Yami, Vogl, &amp; Hauser, 2009)</w:t>
      </w:r>
      <w:r w:rsidR="00BE412A" w:rsidRPr="00310CCF">
        <w:rPr>
          <w:rFonts w:ascii="Times New Roman" w:eastAsia="Times New Roman" w:hAnsi="Times New Roman" w:cs="Times New Roman"/>
        </w:rPr>
        <w:fldChar w:fldCharType="end"/>
      </w:r>
      <w:r w:rsidR="00BE412A" w:rsidRPr="00E97493">
        <w:rPr>
          <w:rFonts w:ascii="Times New Roman" w:eastAsia="Times New Roman" w:hAnsi="Times New Roman" w:cs="Times New Roman"/>
          <w:lang w:val="sv-SE"/>
        </w:rPr>
        <w:t>.</w:t>
      </w:r>
    </w:p>
    <w:p w14:paraId="43D513C2" w14:textId="77777777" w:rsidR="00BE412A" w:rsidRPr="00450343" w:rsidRDefault="00BE412A" w:rsidP="00BE412A">
      <w:pPr>
        <w:spacing w:after="0" w:line="240" w:lineRule="auto"/>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 xml:space="preserve">Selain memperkaya khazanah, literatur tersebut juga membuka persoalan teoretis baru bagi studi ketahanan energi. Jika norma informal dapat membentuk perilaku pengelolaan sumber daya, maka nilai budaya tidak dapat diperlakukan hanya sebagai unsur identitas atau sebagai modal moral untuk membentuk sumber daya manusia. Nilai dapat menjadi bagian dari infrastruktur tata kelola itu sendiri ketika ia </w:t>
      </w:r>
      <w:r w:rsidRPr="00450343">
        <w:rPr>
          <w:rFonts w:ascii="Times New Roman" w:eastAsia="Times New Roman" w:hAnsi="Times New Roman" w:cs="Times New Roman"/>
          <w:lang w:val="sv-SE"/>
        </w:rPr>
        <w:lastRenderedPageBreak/>
        <w:t>ditransmisikan antargenerasi, dilembagakan dalam aturan dan ekspektasi sosial, lalu diwujudkan dalam praktik pengelolaan sumber daya. Dalam konteks ini, masalahnya bukan apakah budaya “mendukung” ketahanan energi. Persoalan yang lebih penting adalah bagaimana nilai budaya berubah menjadi mekanisme sosial yang memengaruhi cara sumber daya strategis dikelola.</w:t>
      </w:r>
    </w:p>
    <w:p w14:paraId="6063D7CF" w14:textId="77777777" w:rsidR="00BE412A" w:rsidRPr="00450343" w:rsidRDefault="00BE412A" w:rsidP="00BE412A">
      <w:pPr>
        <w:spacing w:after="0" w:line="240" w:lineRule="auto"/>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Artikel ini bermaksud menjawab persoalan tersebut melalui kasus nilai kejuangan berbasis budaya Melayu Riau. Spesifiknya, penelitian mengajukan pertanyaan berikut: bagaimana nilai-nilai kejuangan berbasis budaya Melayu Riau ditransmisikan dan diinstitusionalisasikan sebagai norma informal, kemudian bagaimana norma tersebut membentuk praktik tata kelola yang relevan bagi ketahanan energi nasional? Untuk mempermudah proses analisis, pertanyaan tersebut diturunkan lebih jauh menjadi tiga persoalan: (1) bagaimana institusi budaya mentransmisikan nilai kejuangan kepada generasi berikutnya; (2) bagaimana nilai tersebut berubah dari pengetahuan atau keyakinan menjadi ekspektasi dan aturan informal; dan (3) bagaimana aturan informal tersebut diterjemahkan ke dalam praktik tata kelola sumber daya yang mencerminkan integritas, tanggung jawab, kerja kolektif, deliberasi, dan kepedulian terhadap keberlanjutan.</w:t>
      </w:r>
    </w:p>
    <w:p w14:paraId="715B1456" w14:textId="77777777" w:rsidR="00BE412A" w:rsidRPr="00450343" w:rsidRDefault="00BE412A" w:rsidP="00BE412A">
      <w:pPr>
        <w:spacing w:after="0" w:line="240" w:lineRule="auto"/>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 xml:space="preserve">Kami menggunakan studi kasus kualitatif terhadap tiga ruang transmisi dan representasi nilai di Riau, yaitu Lembaga Adat Melayu Riau (LAMR), Istana Siak Sri Indrapura, dan Museum Sang Nila Utama. Ketiganya memberikan sudut pandang yang berbeda terhadap mekanisme yang sama: LAMR memperlihatkan fungsi kelembagaan adat dalam memelihara dan mentransmisikan norma; Istana Siak menyediakan narasi keteladanan kepemimpinan dan pengorbanan sebagai sumber referensi perilaku; sedangkan Museum Sang Nila Utama memperlihatkan fungsi sejarah dan artefak sebagai media pembentukan identitas dan kesadaran nilai. Artikel ini berargumen bahwa nilai kejuangan berbasis budaya bisa menjadi infrastruktur informal ketahanan energi ketika nilai tersebut berhasil ditransmisikan melalui institusi budaya, diinternalisasi menjadi ekspektasi normatif, dan diwujudkan dalam praktik tata kelola. </w:t>
      </w:r>
      <w:r w:rsidRPr="00450343">
        <w:rPr>
          <w:rFonts w:ascii="Times New Roman" w:eastAsia="Times New Roman" w:hAnsi="Times New Roman" w:cs="Times New Roman"/>
          <w:lang w:val="sv-SE"/>
        </w:rPr>
        <w:t>Sebaliknya, ketika transmisi antargenerasi melemah, yang terancam bukan hanya kelestarian budaya tetapi juga kapasitas norma tersebut untuk membatasi oportunisme, mendorong tanggung jawab kolektif, dan mengarahkan pengelolaan sumber daya strategis pada kepentingan jangka panjang.</w:t>
      </w:r>
    </w:p>
    <w:p w14:paraId="4E2815E9" w14:textId="77777777" w:rsidR="00BE412A" w:rsidRPr="00450343" w:rsidRDefault="00BE412A" w:rsidP="00BE412A">
      <w:pPr>
        <w:spacing w:after="0" w:line="240" w:lineRule="auto"/>
        <w:ind w:firstLine="709"/>
        <w:jc w:val="both"/>
        <w:rPr>
          <w:rFonts w:ascii="Times New Roman" w:eastAsia="Times New Roman" w:hAnsi="Times New Roman" w:cs="Times New Roman"/>
          <w:lang w:val="sv-SE"/>
        </w:rPr>
      </w:pPr>
      <w:r w:rsidRPr="00450343">
        <w:rPr>
          <w:rFonts w:ascii="Times New Roman" w:eastAsia="Times New Roman" w:hAnsi="Times New Roman" w:cs="Times New Roman"/>
          <w:lang w:val="sv-SE"/>
        </w:rPr>
        <w:t xml:space="preserve">Dengan demikian, artikel ini tidak bermaksud menambahkan “budaya” sebagai dimensi kelima di samping </w:t>
      </w:r>
      <w:r w:rsidRPr="00450343">
        <w:rPr>
          <w:rFonts w:ascii="Times New Roman" w:eastAsia="Times New Roman" w:hAnsi="Times New Roman" w:cs="Times New Roman"/>
          <w:i/>
          <w:iCs/>
          <w:lang w:val="sv-SE"/>
        </w:rPr>
        <w:t>availability, accessibility, affordability,</w:t>
      </w:r>
      <w:r w:rsidRPr="00450343">
        <w:rPr>
          <w:rFonts w:ascii="Times New Roman" w:eastAsia="Times New Roman" w:hAnsi="Times New Roman" w:cs="Times New Roman"/>
          <w:lang w:val="sv-SE"/>
        </w:rPr>
        <w:t xml:space="preserve"> dan </w:t>
      </w:r>
      <w:r w:rsidRPr="00450343">
        <w:rPr>
          <w:rFonts w:ascii="Times New Roman" w:eastAsia="Times New Roman" w:hAnsi="Times New Roman" w:cs="Times New Roman"/>
          <w:i/>
          <w:iCs/>
          <w:lang w:val="sv-SE"/>
        </w:rPr>
        <w:t>acceptability</w:t>
      </w:r>
      <w:r w:rsidRPr="00450343">
        <w:rPr>
          <w:rFonts w:ascii="Times New Roman" w:eastAsia="Times New Roman" w:hAnsi="Times New Roman" w:cs="Times New Roman"/>
          <w:lang w:val="sv-SE"/>
        </w:rPr>
        <w:t xml:space="preserve">. Itu justru akan mengulang kelemahan yang dikritik Cherp dan Jewell </w:t>
      </w:r>
      <w:r w:rsidRPr="00310CCF">
        <w:rPr>
          <w:rFonts w:ascii="Times New Roman" w:eastAsia="Times New Roman" w:hAnsi="Times New Roman" w:cs="Times New Roman"/>
          <w:lang w:val="en-US"/>
        </w:rPr>
        <w:fldChar w:fldCharType="begin"/>
      </w:r>
      <w:r w:rsidRPr="00450343">
        <w:rPr>
          <w:rFonts w:ascii="Times New Roman" w:eastAsia="Times New Roman" w:hAnsi="Times New Roman" w:cs="Times New Roman"/>
          <w:lang w:val="sv-SE"/>
        </w:rPr>
        <w:instrText xml:space="preserve"> ADDIN ZOTERO_ITEM CSL_CITATION {"citationID":"Zb2WzcR1","properties":{"unsorted":false,"formattedCitation":"(2014)","plainCitation":"(2014)","noteIndex":0},"citationItems":[{"id":12082,"uris":["http://zotero.org/users/10066221/items/T5QEHJLX"],"itemData":{"id":12082,"type":"article-journal","container-title":"Energy Policy","DOI":"10.1016/j.enpol.2014.09.005","ISSN":"03014215","journalAbbreviation":"Energy Policy","language":"en","page":"415-421","source":"DOI.org (Crossref)","title":"The concept of energy security: Beyond the four A's","title-short":"The concept of energy security","volume":"75","author":[{"family":"Cherp","given":"Aleh"},{"family":"Jewell","given":"Jessica"}],"issued":{"date-parts":[["2014",12]]}},"suppress-author":true}],"schema":"https://github.com/citation-style-language/schema/raw/master/csl-citation.json"} </w:instrText>
      </w:r>
      <w:r w:rsidRPr="00310CCF">
        <w:rPr>
          <w:rFonts w:ascii="Times New Roman" w:eastAsia="Times New Roman" w:hAnsi="Times New Roman" w:cs="Times New Roman"/>
          <w:lang w:val="en-US"/>
        </w:rPr>
        <w:fldChar w:fldCharType="separate"/>
      </w:r>
      <w:r w:rsidRPr="00450343">
        <w:rPr>
          <w:rFonts w:ascii="Times New Roman" w:eastAsia="Times New Roman" w:hAnsi="Times New Roman" w:cs="Times New Roman"/>
          <w:lang w:val="sv-SE"/>
        </w:rPr>
        <w:t>(2014)</w:t>
      </w:r>
      <w:r w:rsidRPr="00310CCF">
        <w:rPr>
          <w:rFonts w:ascii="Times New Roman" w:eastAsia="Times New Roman" w:hAnsi="Times New Roman" w:cs="Times New Roman"/>
        </w:rPr>
        <w:fldChar w:fldCharType="end"/>
      </w:r>
      <w:r w:rsidRPr="00450343">
        <w:rPr>
          <w:rFonts w:ascii="Times New Roman" w:eastAsia="Times New Roman" w:hAnsi="Times New Roman" w:cs="Times New Roman"/>
          <w:lang w:val="sv-SE"/>
        </w:rPr>
        <w:t>, yaitu menambah satu kategori tanpa menjelaskan hubungan antara kategori tersebut, nilai yang dilindungi, dan mekanisme sosial yang menghubungkannya dengan sistem energi. Kontribusi artikel ini jauh lebih sederhana tetapi berdampak: budaya diposisikan bukan sebagai indikator tambahan ketahanan energi, melainkan sebagai sumber norma yang dapat menjadi infrastruktur tata kelola informal. Dengan cara tersebut, pertanyaan tentang “keamanan bagi siapa” dan “nilai apa yang dilindungi” dapat dihubungkan dengan pertanyaan yang lebih operasional, yaitu bagaimana nilai tersebut mengatur tindakan manusia yang menentukan keberlanjutan sumber daya strategis.</w:t>
      </w:r>
    </w:p>
    <w:p w14:paraId="119AF683" w14:textId="72DD706C" w:rsidR="00FB4D95" w:rsidRDefault="00BE412A" w:rsidP="00BE412A">
      <w:pPr>
        <w:spacing w:after="0" w:line="240" w:lineRule="auto"/>
        <w:ind w:firstLine="720"/>
        <w:jc w:val="both"/>
        <w:rPr>
          <w:rFonts w:ascii="Times New Roman" w:eastAsia="Times New Roman" w:hAnsi="Times New Roman" w:cs="Times New Roman"/>
        </w:rPr>
      </w:pPr>
      <w:r w:rsidRPr="00450343">
        <w:rPr>
          <w:rFonts w:ascii="Times New Roman" w:eastAsia="Times New Roman" w:hAnsi="Times New Roman" w:cs="Times New Roman"/>
          <w:lang w:val="sv-SE"/>
        </w:rPr>
        <w:t xml:space="preserve">Artikel ini disusun dalam empat bagian utama. Bagian pertama menguraikan metode penelitian seperti desain studi kasus, sumber data, unit analisis, dan strategi analisis untuk menelusuri hubungan antara transmisi nilai, institusionalisasi norma, dan praktik tata kelola. Bagian kedua menyajikan hasil penelitian dengan memeriksa secara berurutan bagaimana nilai juang berbasis budaya ditransmisikan, bagaimana nilai tersebut berkembang menjadi norma informal, dan bagaimana norma itu diwujudkan dalam praktik pengelolaan kepentingan dan sumber daya bersama. Bagian ketiga membahas temuan tersebut dalam kaitannya dengan perdebatan tentang ketahanan energi, </w:t>
      </w:r>
      <w:r w:rsidRPr="00450343">
        <w:rPr>
          <w:rFonts w:ascii="Times New Roman" w:eastAsia="Times New Roman" w:hAnsi="Times New Roman" w:cs="Times New Roman"/>
          <w:i/>
          <w:iCs/>
          <w:lang w:val="sv-SE"/>
        </w:rPr>
        <w:t>societal security</w:t>
      </w:r>
      <w:r w:rsidRPr="00450343">
        <w:rPr>
          <w:rFonts w:ascii="Times New Roman" w:eastAsia="Times New Roman" w:hAnsi="Times New Roman" w:cs="Times New Roman"/>
          <w:lang w:val="sv-SE"/>
        </w:rPr>
        <w:t xml:space="preserve">, dan institusi informal, sekaligus menunjukkan keterbatasan pendekatan ketahanan energi yang terlalu berfokus pada kapasitas material dan institusi formal. Bagian terakhir menyimpulkan argumen penelitian, menjelaskan kontribusinya bagi pemahaman tentang dimensi normatif ketahanan energi, serta merumuskan </w:t>
      </w:r>
      <w:r w:rsidRPr="00450343">
        <w:rPr>
          <w:rFonts w:ascii="Times New Roman" w:eastAsia="Times New Roman" w:hAnsi="Times New Roman" w:cs="Times New Roman"/>
          <w:lang w:val="sv-SE"/>
        </w:rPr>
        <w:lastRenderedPageBreak/>
        <w:t>implikasi dan batasan yang perlu diperhatikan dalam penelitian selanjutnya.</w:t>
      </w:r>
    </w:p>
    <w:p w14:paraId="5795E082" w14:textId="77777777" w:rsidR="009D0998" w:rsidRDefault="009D0998">
      <w:pPr>
        <w:spacing w:after="0" w:line="240" w:lineRule="auto"/>
        <w:jc w:val="both"/>
        <w:rPr>
          <w:rFonts w:ascii="Times New Roman" w:eastAsia="Times New Roman" w:hAnsi="Times New Roman" w:cs="Times New Roman"/>
          <w:b/>
          <w:color w:val="974705"/>
        </w:rPr>
      </w:pPr>
    </w:p>
    <w:p w14:paraId="00EFB8B0" w14:textId="40AD68AF" w:rsidR="00FB4D95" w:rsidRDefault="00084FED">
      <w:pPr>
        <w:spacing w:after="0" w:line="240" w:lineRule="auto"/>
        <w:jc w:val="both"/>
        <w:rPr>
          <w:rFonts w:ascii="Times New Roman" w:eastAsia="Times New Roman" w:hAnsi="Times New Roman" w:cs="Times New Roman"/>
        </w:rPr>
      </w:pPr>
      <w:r>
        <w:rPr>
          <w:rFonts w:ascii="Times New Roman" w:eastAsia="Times New Roman" w:hAnsi="Times New Roman" w:cs="Times New Roman"/>
          <w:b/>
          <w:color w:val="974705"/>
        </w:rPr>
        <w:t>Metode</w:t>
      </w:r>
    </w:p>
    <w:p w14:paraId="1F4D1C54" w14:textId="77777777" w:rsidR="00BE412A" w:rsidRPr="00310CCF" w:rsidRDefault="00BE412A" w:rsidP="00BE412A">
      <w:pPr>
        <w:spacing w:after="0" w:line="240" w:lineRule="auto"/>
        <w:ind w:firstLine="709"/>
        <w:jc w:val="both"/>
        <w:rPr>
          <w:rFonts w:ascii="Times New Roman" w:hAnsi="Times New Roman" w:cs="Times New Roman"/>
        </w:rPr>
      </w:pPr>
      <w:r w:rsidRPr="00310CCF">
        <w:rPr>
          <w:rFonts w:ascii="Times New Roman" w:hAnsi="Times New Roman" w:cs="Times New Roman"/>
        </w:rPr>
        <w:t xml:space="preserve">Penelitian ini menggunakan studi kasus kualitatif untuk menjelaskan bagaimana nilai-nilai budaya Melayu Riau ditransmisikan, </w:t>
      </w:r>
      <w:proofErr w:type="spellStart"/>
      <w:r w:rsidRPr="00310CCF">
        <w:rPr>
          <w:rFonts w:ascii="Times New Roman" w:hAnsi="Times New Roman" w:cs="Times New Roman"/>
        </w:rPr>
        <w:t>diinstitusionalisasikan</w:t>
      </w:r>
      <w:proofErr w:type="spellEnd"/>
      <w:r w:rsidRPr="00310CCF">
        <w:rPr>
          <w:rFonts w:ascii="Times New Roman" w:hAnsi="Times New Roman" w:cs="Times New Roman"/>
        </w:rPr>
        <w:t xml:space="preserve"> sebagai norma informal, dan diterjemahkan ke dalam praktik tata kelola yang relevan bagi ketahanan energi. Studi kasus dipilih karena penelitian berupaya menjelaskan proses yang menghubungkan nilai, norma, dan praktik dalam konteks sosial dan kelembagaan tertentu. Kasus yang dikaji adalah tatanan normatif budaya Melayu Riau, dengan perhatian khusus pada proses transmisi dan aktualisasi nilai yang berlangsung melalui Lembaga Adat Melayu Riau (LAMR), Istana Siak Sri Indrapura, dan Museum Sang Nila Utama. Masing-masing menyediakan akses terhadap bagian yang berbeda dari proses reproduksi norma: LAMR terutama merepresentasikan pemeliharaan dan artikulasi norma adat; Istana Siak menyediakan repertoar keteladanan historis dan kepemimpinan; sedangkan Museum Sang Nila Utama berfungsi sebagai medium dokumentasi dan transmisi sejarah serta identitas budaya. Dengan demikian, kasus ini memungkinkan penelitian mengamati bukan hanya nilai apa yang diwariskan, tetapi juga bagaimana nilai tersebut dipertahankan, ditransmisikan, diberi teladan, dan dihubungkan dengan perilaku sosial. Fokus tersebut penting karena keberadaan suatu nilai belum dengan sendirinya menunjukkan bahwa nilai itu telah menjadi norma yang mengatur tindakan.</w:t>
      </w:r>
    </w:p>
    <w:p w14:paraId="6C4490AA" w14:textId="77777777" w:rsidR="00BE412A" w:rsidRPr="00310CCF" w:rsidRDefault="00BE412A" w:rsidP="00BE412A">
      <w:pPr>
        <w:spacing w:after="0" w:line="240" w:lineRule="auto"/>
        <w:ind w:firstLine="709"/>
        <w:jc w:val="both"/>
        <w:rPr>
          <w:rFonts w:ascii="Times New Roman" w:hAnsi="Times New Roman" w:cs="Times New Roman"/>
        </w:rPr>
      </w:pPr>
      <w:r w:rsidRPr="00310CCF">
        <w:rPr>
          <w:rFonts w:ascii="Times New Roman" w:hAnsi="Times New Roman" w:cs="Times New Roman"/>
        </w:rPr>
        <w:t xml:space="preserve">Riau dipilih sebagai studi kasus karena ia mempertemukan dua kondisi yang relevan dengan pertanyaan penelitian. Pertama, Riau merupakan wilayah yang memiliki arti strategis dalam sistem energi Indonesia, di mana ia merupakan salah satu wilayah strategis penghasil energi dan menghubungkan posisi tersebut dengan kebutuhan untuk mengelola sumber daya energi secara bertanggung jawab </w:t>
      </w:r>
      <w:r w:rsidRPr="00310CCF">
        <w:rPr>
          <w:rFonts w:ascii="Times New Roman" w:hAnsi="Times New Roman" w:cs="Times New Roman"/>
        </w:rPr>
        <w:fldChar w:fldCharType="begin"/>
      </w:r>
      <w:r w:rsidRPr="00310CCF">
        <w:rPr>
          <w:rFonts w:ascii="Times New Roman" w:hAnsi="Times New Roman" w:cs="Times New Roman"/>
        </w:rPr>
        <w:instrText xml:space="preserve"> ADDIN ZOTERO_ITEM CSL_CITATION {"citationID":"neCTfv0n","properties":{"unsorted":false,"formattedCitation":"(Kementerian Energi dan Sumber Daya Mineral Republik Indonesia, 2025)","plainCitation":"(Kementerian Energi dan Sumber Daya Mineral Republik Indonesia, 2025)","noteIndex":0},"citationItems":[{"id":12099,"uris":["http://zotero.org/users/10066221/items/AX4T34MQ"],"itemData":{"id":12099,"type":"book","publisher":"Kementerian ESDM","publisher-place":"Jakarta","title":"Handbook of Energy &amp; Economy Statistics of Indonesia","author":[{"family":"Kementerian Energi dan Sumber Daya Mineral Republik Indonesia","given":""}],"issued":{"date-parts":[["2025"]]}}}],"schema":"https://github.com/citation-style-language/schema/raw/master/csl-citation.json"} </w:instrText>
      </w:r>
      <w:r w:rsidRPr="00310CCF">
        <w:rPr>
          <w:rFonts w:ascii="Times New Roman" w:hAnsi="Times New Roman" w:cs="Times New Roman"/>
        </w:rPr>
        <w:fldChar w:fldCharType="separate"/>
      </w:r>
      <w:r w:rsidRPr="00310CCF">
        <w:rPr>
          <w:rFonts w:ascii="Times New Roman" w:hAnsi="Times New Roman" w:cs="Times New Roman"/>
        </w:rPr>
        <w:t>(Kementerian Energi dan Sumber Daya Mineral Republik Indonesia, 2025)</w:t>
      </w:r>
      <w:r w:rsidRPr="00310CCF">
        <w:rPr>
          <w:rFonts w:ascii="Times New Roman" w:hAnsi="Times New Roman" w:cs="Times New Roman"/>
        </w:rPr>
        <w:fldChar w:fldCharType="end"/>
      </w:r>
      <w:r w:rsidRPr="00310CCF">
        <w:rPr>
          <w:rFonts w:ascii="Times New Roman" w:hAnsi="Times New Roman" w:cs="Times New Roman"/>
        </w:rPr>
        <w:t xml:space="preserve">. Kedua, wilayah ini memiliki infrastruktur budaya yang memungkinkan penelitian menelusuri keberadaan dan transmisi norma di luar institusi formal negara, yang dalam artikel ini merujuk pada LAMR, Istana Siak, dan </w:t>
      </w:r>
      <w:r w:rsidRPr="00310CCF">
        <w:rPr>
          <w:rFonts w:ascii="Times New Roman" w:hAnsi="Times New Roman" w:cs="Times New Roman"/>
        </w:rPr>
        <w:t xml:space="preserve">Museum Sang Nila Utama. Kombinasi tersebut membuat Riau relevan secara analitis dengan menyediakan kesempatan untuk mengamati hubungan antara </w:t>
      </w:r>
      <w:proofErr w:type="spellStart"/>
      <w:r w:rsidRPr="00310CCF">
        <w:rPr>
          <w:rFonts w:ascii="Times New Roman" w:hAnsi="Times New Roman" w:cs="Times New Roman"/>
          <w:i/>
          <w:iCs/>
        </w:rPr>
        <w:t>cultural</w:t>
      </w:r>
      <w:proofErr w:type="spellEnd"/>
      <w:r w:rsidRPr="00310CCF">
        <w:rPr>
          <w:rFonts w:ascii="Times New Roman" w:hAnsi="Times New Roman" w:cs="Times New Roman"/>
          <w:i/>
          <w:iCs/>
        </w:rPr>
        <w:t xml:space="preserve"> </w:t>
      </w:r>
      <w:proofErr w:type="spellStart"/>
      <w:r w:rsidRPr="00310CCF">
        <w:rPr>
          <w:rFonts w:ascii="Times New Roman" w:hAnsi="Times New Roman" w:cs="Times New Roman"/>
          <w:i/>
          <w:iCs/>
        </w:rPr>
        <w:t>repertoire</w:t>
      </w:r>
      <w:proofErr w:type="spellEnd"/>
      <w:r w:rsidRPr="00310CCF">
        <w:rPr>
          <w:rFonts w:ascii="Times New Roman" w:hAnsi="Times New Roman" w:cs="Times New Roman"/>
        </w:rPr>
        <w:t>, proses transmisi norma, dan praktik tata kelola dalam konteks wilayah yang memiliki kepentingan strategis terhadap energi. Namun, penelitian tidak menganggap Riau sebagai representasi statistik Indonesia. Nilai kasus ini terletak pada kemampuannya untuk mengungkap mekanisme, bukan untuk menghasilkan generalisasi populasi.</w:t>
      </w:r>
    </w:p>
    <w:p w14:paraId="1D6EB4E8" w14:textId="77777777" w:rsidR="00BE412A" w:rsidRPr="00310CCF" w:rsidRDefault="00BE412A" w:rsidP="00BE412A">
      <w:pPr>
        <w:spacing w:after="0" w:line="240" w:lineRule="auto"/>
        <w:ind w:firstLine="709"/>
        <w:jc w:val="both"/>
        <w:rPr>
          <w:rFonts w:ascii="Times New Roman" w:hAnsi="Times New Roman" w:cs="Times New Roman"/>
        </w:rPr>
      </w:pPr>
      <w:r w:rsidRPr="00310CCF">
        <w:rPr>
          <w:rFonts w:ascii="Times New Roman" w:hAnsi="Times New Roman" w:cs="Times New Roman"/>
        </w:rPr>
        <w:t xml:space="preserve">Unit analisis penelitian ini bukanlah </w:t>
      </w:r>
      <w:r w:rsidRPr="00DF6FDE">
        <w:rPr>
          <w:rFonts w:ascii="Times New Roman" w:hAnsi="Times New Roman" w:cs="Times New Roman"/>
        </w:rPr>
        <w:t xml:space="preserve">individu atau institusi secara utuh, melainkan bagaimana norma budaya ditransmisikan, </w:t>
      </w:r>
      <w:proofErr w:type="spellStart"/>
      <w:r w:rsidRPr="00DF6FDE">
        <w:rPr>
          <w:rFonts w:ascii="Times New Roman" w:hAnsi="Times New Roman" w:cs="Times New Roman"/>
        </w:rPr>
        <w:t>diinstitusionalisasikan</w:t>
      </w:r>
      <w:proofErr w:type="spellEnd"/>
      <w:r w:rsidRPr="00DF6FDE">
        <w:rPr>
          <w:rFonts w:ascii="Times New Roman" w:hAnsi="Times New Roman" w:cs="Times New Roman"/>
        </w:rPr>
        <w:t xml:space="preserve">, dan diterapkan dalam tata kelola. Analisis ini dibagi ke dalam tiga tingkat. Tingkat pertama mengidentifikasi nilai-nilai budaya yang dipegang teguh sebagai pedoman normatif, seperti amanah, integritas, gotong royong, musyawarah, dan kepedulian lingkungan. Tingkat kedua menelaah proses transmisi dan </w:t>
      </w:r>
      <w:proofErr w:type="spellStart"/>
      <w:r w:rsidRPr="00DF6FDE">
        <w:rPr>
          <w:rFonts w:ascii="Times New Roman" w:hAnsi="Times New Roman" w:cs="Times New Roman"/>
        </w:rPr>
        <w:t>institusionalisasi</w:t>
      </w:r>
      <w:proofErr w:type="spellEnd"/>
      <w:r w:rsidRPr="00DF6FDE">
        <w:rPr>
          <w:rFonts w:ascii="Times New Roman" w:hAnsi="Times New Roman" w:cs="Times New Roman"/>
        </w:rPr>
        <w:t xml:space="preserve"> nilai-nilai tersebut. Kami tidak sekadar menerima klaim bahwa </w:t>
      </w:r>
      <w:r w:rsidRPr="00310CCF">
        <w:rPr>
          <w:rFonts w:ascii="Times New Roman" w:hAnsi="Times New Roman" w:cs="Times New Roman"/>
        </w:rPr>
        <w:t>“</w:t>
      </w:r>
      <w:r w:rsidRPr="00DF6FDE">
        <w:rPr>
          <w:rFonts w:ascii="Times New Roman" w:hAnsi="Times New Roman" w:cs="Times New Roman"/>
        </w:rPr>
        <w:t>amanah itu penting</w:t>
      </w:r>
      <w:r w:rsidRPr="00310CCF">
        <w:rPr>
          <w:rFonts w:ascii="Times New Roman" w:hAnsi="Times New Roman" w:cs="Times New Roman"/>
        </w:rPr>
        <w:t>”</w:t>
      </w:r>
      <w:r w:rsidRPr="00DF6FDE">
        <w:rPr>
          <w:rFonts w:ascii="Times New Roman" w:hAnsi="Times New Roman" w:cs="Times New Roman"/>
        </w:rPr>
        <w:t xml:space="preserve"> sebagai bukti adanya institusi informal. Nilai baru dianggap </w:t>
      </w:r>
      <w:proofErr w:type="spellStart"/>
      <w:r w:rsidRPr="00DF6FDE">
        <w:rPr>
          <w:rFonts w:ascii="Times New Roman" w:hAnsi="Times New Roman" w:cs="Times New Roman"/>
        </w:rPr>
        <w:t>terinstitusionalisasi</w:t>
      </w:r>
      <w:proofErr w:type="spellEnd"/>
      <w:r w:rsidRPr="00DF6FDE">
        <w:rPr>
          <w:rFonts w:ascii="Times New Roman" w:hAnsi="Times New Roman" w:cs="Times New Roman"/>
        </w:rPr>
        <w:t xml:space="preserve"> jika telah diajarkan, diteladankan, dan diwariskan, sehingga memunculkan konsekuensi </w:t>
      </w:r>
      <w:r w:rsidRPr="00310CCF">
        <w:rPr>
          <w:rFonts w:ascii="Times New Roman" w:hAnsi="Times New Roman" w:cs="Times New Roman"/>
        </w:rPr>
        <w:t xml:space="preserve">riil seperti </w:t>
      </w:r>
      <w:r w:rsidRPr="00DF6FDE">
        <w:rPr>
          <w:rFonts w:ascii="Times New Roman" w:hAnsi="Times New Roman" w:cs="Times New Roman"/>
        </w:rPr>
        <w:t xml:space="preserve">mengatur apa yang boleh dan tidak boleh dilakukan. Tingkat ketiga adalah praktik tata kelola. Di sini, penelitian melihat apakah norma-norma tersebut benar-benar </w:t>
      </w:r>
      <w:r w:rsidRPr="00310CCF">
        <w:rPr>
          <w:rFonts w:ascii="Times New Roman" w:hAnsi="Times New Roman" w:cs="Times New Roman"/>
        </w:rPr>
        <w:t>terealisasi</w:t>
      </w:r>
      <w:r w:rsidRPr="00DF6FDE">
        <w:rPr>
          <w:rFonts w:ascii="Times New Roman" w:hAnsi="Times New Roman" w:cs="Times New Roman"/>
        </w:rPr>
        <w:t xml:space="preserve"> dalam tindakan seperti pengelolaan sumber daya, pengendalian kepentingan pribadi, kerja sama, pengambilan keputusan, dan akuntabilitas. Melalui kerangka ini, penelitian dapat menghindari lompatan </w:t>
      </w:r>
      <w:r w:rsidRPr="00310CCF">
        <w:rPr>
          <w:rFonts w:ascii="Times New Roman" w:hAnsi="Times New Roman" w:cs="Times New Roman"/>
        </w:rPr>
        <w:t>kesimpulan</w:t>
      </w:r>
      <w:r w:rsidRPr="00DF6FDE">
        <w:rPr>
          <w:rFonts w:ascii="Times New Roman" w:hAnsi="Times New Roman" w:cs="Times New Roman"/>
        </w:rPr>
        <w:t xml:space="preserve"> yang menganggap sekadar adanya nilai budaya otomatis menciptakan ketahanan energi.</w:t>
      </w:r>
    </w:p>
    <w:p w14:paraId="3B1EF888" w14:textId="77777777" w:rsidR="00BE412A" w:rsidRPr="00310CCF" w:rsidRDefault="00BE412A" w:rsidP="00BE412A">
      <w:pPr>
        <w:spacing w:after="0" w:line="240" w:lineRule="auto"/>
        <w:ind w:firstLine="709"/>
        <w:jc w:val="both"/>
        <w:rPr>
          <w:rFonts w:ascii="Times New Roman" w:hAnsi="Times New Roman" w:cs="Times New Roman"/>
        </w:rPr>
      </w:pPr>
      <w:r w:rsidRPr="00310CCF">
        <w:rPr>
          <w:rFonts w:ascii="Times New Roman" w:hAnsi="Times New Roman" w:cs="Times New Roman"/>
        </w:rPr>
        <w:t xml:space="preserve">Korpus penelitian terdiri atas data primer dan data sekunder di wilayah Riau dan Dumai. Data primer terdiri atas hasil observasi lapangan, wawancara mendalam, dan diskusi dengan aktor yang memiliki pengetahuan mengenai kebudayaan, sejarah, pemerintahan, dan energi, di antaranya ada tokoh adat, akademisi, pemerintah daerah, serta pihak yang kompeten di bidang kebudayaan dan energi. Data sekunder terdiri atas dokumen kebijakan, peraturan perundang-undangan, dokumen pemerintah, arsip sejarah, literatur ilmiah, dan sumber </w:t>
      </w:r>
      <w:r w:rsidRPr="00310CCF">
        <w:rPr>
          <w:rFonts w:ascii="Times New Roman" w:hAnsi="Times New Roman" w:cs="Times New Roman"/>
        </w:rPr>
        <w:lastRenderedPageBreak/>
        <w:t>kelembagaan yang berkaitan dengan nilai kejuangan, budaya Melayu, dan ketahanan energi. Laporan juga memanfaatkan sumber mengenai LAMR, sejarah Kesultanan Siak, dan fungsi Museum Sang Nila Utama untuk membangun gambaran empiris mengenai proses pelestarian dan transmisi budaya.</w:t>
      </w:r>
    </w:p>
    <w:p w14:paraId="2E31417D" w14:textId="77777777" w:rsidR="00BE412A" w:rsidRPr="008E0AE3" w:rsidRDefault="00BE412A" w:rsidP="00BE412A">
      <w:pPr>
        <w:spacing w:before="240" w:after="0" w:line="240" w:lineRule="auto"/>
        <w:jc w:val="center"/>
        <w:rPr>
          <w:rFonts w:ascii="Times New Roman" w:hAnsi="Times New Roman" w:cs="Times New Roman"/>
          <w:b/>
          <w:bCs/>
        </w:rPr>
      </w:pPr>
      <w:r w:rsidRPr="008E0AE3">
        <w:rPr>
          <w:rFonts w:ascii="Times New Roman" w:hAnsi="Times New Roman" w:cs="Times New Roman"/>
          <w:b/>
          <w:bCs/>
        </w:rPr>
        <w:t>Tabel 1. Pemetaan Korpus Empiris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092"/>
        <w:gridCol w:w="866"/>
        <w:gridCol w:w="970"/>
        <w:gridCol w:w="964"/>
      </w:tblGrid>
      <w:tr w:rsidR="00BE412A" w:rsidRPr="00BE412A" w14:paraId="674E5980" w14:textId="77777777" w:rsidTr="009E430E">
        <w:tc>
          <w:tcPr>
            <w:tcW w:w="1436" w:type="pct"/>
            <w:vAlign w:val="center"/>
            <w:hideMark/>
          </w:tcPr>
          <w:p w14:paraId="32AA2836" w14:textId="77777777" w:rsidR="00BE412A" w:rsidRPr="00BE412A" w:rsidRDefault="00BE412A" w:rsidP="009E430E">
            <w:pPr>
              <w:jc w:val="center"/>
              <w:rPr>
                <w:rFonts w:ascii="Times New Roman" w:hAnsi="Times New Roman" w:cs="Times New Roman"/>
                <w:b/>
                <w:bCs/>
                <w:sz w:val="16"/>
                <w:szCs w:val="16"/>
              </w:rPr>
            </w:pPr>
            <w:proofErr w:type="spellStart"/>
            <w:r w:rsidRPr="00BE412A">
              <w:rPr>
                <w:rFonts w:ascii="Times New Roman" w:hAnsi="Times New Roman" w:cs="Times New Roman"/>
                <w:b/>
                <w:bCs/>
                <w:sz w:val="16"/>
                <w:szCs w:val="16"/>
              </w:rPr>
              <w:t>Korpus</w:t>
            </w:r>
            <w:proofErr w:type="spellEnd"/>
          </w:p>
        </w:tc>
        <w:tc>
          <w:tcPr>
            <w:tcW w:w="1079" w:type="pct"/>
            <w:vAlign w:val="center"/>
            <w:hideMark/>
          </w:tcPr>
          <w:p w14:paraId="44D56440" w14:textId="77777777" w:rsidR="00BE412A" w:rsidRPr="00BE412A" w:rsidRDefault="00BE412A" w:rsidP="009E430E">
            <w:pPr>
              <w:jc w:val="center"/>
              <w:rPr>
                <w:rFonts w:ascii="Times New Roman" w:hAnsi="Times New Roman" w:cs="Times New Roman"/>
                <w:b/>
                <w:bCs/>
                <w:sz w:val="16"/>
                <w:szCs w:val="16"/>
              </w:rPr>
            </w:pPr>
            <w:proofErr w:type="spellStart"/>
            <w:r w:rsidRPr="00BE412A">
              <w:rPr>
                <w:rFonts w:ascii="Times New Roman" w:hAnsi="Times New Roman" w:cs="Times New Roman"/>
                <w:b/>
                <w:bCs/>
                <w:sz w:val="16"/>
                <w:szCs w:val="16"/>
              </w:rPr>
              <w:t>Fokus</w:t>
            </w:r>
            <w:proofErr w:type="spellEnd"/>
          </w:p>
        </w:tc>
        <w:tc>
          <w:tcPr>
            <w:tcW w:w="1246" w:type="pct"/>
            <w:vAlign w:val="center"/>
            <w:hideMark/>
          </w:tcPr>
          <w:p w14:paraId="4973D3C6" w14:textId="77777777" w:rsidR="00BE412A" w:rsidRPr="00BE412A" w:rsidRDefault="00BE412A" w:rsidP="009E430E">
            <w:pPr>
              <w:jc w:val="center"/>
              <w:rPr>
                <w:rFonts w:ascii="Times New Roman" w:hAnsi="Times New Roman" w:cs="Times New Roman"/>
                <w:b/>
                <w:bCs/>
                <w:sz w:val="16"/>
                <w:szCs w:val="16"/>
              </w:rPr>
            </w:pPr>
            <w:proofErr w:type="spellStart"/>
            <w:r w:rsidRPr="00BE412A">
              <w:rPr>
                <w:rFonts w:ascii="Times New Roman" w:hAnsi="Times New Roman" w:cs="Times New Roman"/>
                <w:b/>
                <w:bCs/>
                <w:sz w:val="16"/>
                <w:szCs w:val="16"/>
              </w:rPr>
              <w:t>Pertanyaan</w:t>
            </w:r>
            <w:proofErr w:type="spellEnd"/>
            <w:r w:rsidRPr="00BE412A">
              <w:rPr>
                <w:rFonts w:ascii="Times New Roman" w:hAnsi="Times New Roman" w:cs="Times New Roman"/>
                <w:b/>
                <w:bCs/>
                <w:sz w:val="16"/>
                <w:szCs w:val="16"/>
              </w:rPr>
              <w:t xml:space="preserve"> yang Dijawab</w:t>
            </w:r>
          </w:p>
        </w:tc>
        <w:tc>
          <w:tcPr>
            <w:tcW w:w="1238" w:type="pct"/>
            <w:vAlign w:val="center"/>
            <w:hideMark/>
          </w:tcPr>
          <w:p w14:paraId="7B903BAD" w14:textId="77777777" w:rsidR="00BE412A" w:rsidRPr="00BE412A" w:rsidRDefault="00BE412A" w:rsidP="009E430E">
            <w:pPr>
              <w:jc w:val="center"/>
              <w:rPr>
                <w:rFonts w:ascii="Times New Roman" w:hAnsi="Times New Roman" w:cs="Times New Roman"/>
                <w:b/>
                <w:bCs/>
                <w:sz w:val="16"/>
                <w:szCs w:val="16"/>
              </w:rPr>
            </w:pPr>
            <w:r w:rsidRPr="00BE412A">
              <w:rPr>
                <w:rFonts w:ascii="Times New Roman" w:hAnsi="Times New Roman" w:cs="Times New Roman"/>
                <w:b/>
                <w:bCs/>
                <w:sz w:val="16"/>
                <w:szCs w:val="16"/>
              </w:rPr>
              <w:t xml:space="preserve">Peran </w:t>
            </w:r>
            <w:proofErr w:type="spellStart"/>
            <w:r w:rsidRPr="00BE412A">
              <w:rPr>
                <w:rFonts w:ascii="Times New Roman" w:hAnsi="Times New Roman" w:cs="Times New Roman"/>
                <w:b/>
                <w:bCs/>
                <w:sz w:val="16"/>
                <w:szCs w:val="16"/>
              </w:rPr>
              <w:t>dalam</w:t>
            </w:r>
            <w:proofErr w:type="spellEnd"/>
            <w:r w:rsidRPr="00BE412A">
              <w:rPr>
                <w:rFonts w:ascii="Times New Roman" w:hAnsi="Times New Roman" w:cs="Times New Roman"/>
                <w:b/>
                <w:bCs/>
                <w:sz w:val="16"/>
                <w:szCs w:val="16"/>
              </w:rPr>
              <w:t xml:space="preserve"> </w:t>
            </w:r>
            <w:proofErr w:type="spellStart"/>
            <w:r w:rsidRPr="00BE412A">
              <w:rPr>
                <w:rFonts w:ascii="Times New Roman" w:hAnsi="Times New Roman" w:cs="Times New Roman"/>
                <w:b/>
                <w:bCs/>
                <w:sz w:val="16"/>
                <w:szCs w:val="16"/>
              </w:rPr>
              <w:t>Argumentasi</w:t>
            </w:r>
            <w:proofErr w:type="spellEnd"/>
          </w:p>
        </w:tc>
      </w:tr>
      <w:tr w:rsidR="00BE412A" w:rsidRPr="00BE412A" w14:paraId="5362AD97" w14:textId="77777777" w:rsidTr="009E430E">
        <w:tc>
          <w:tcPr>
            <w:tcW w:w="1436" w:type="pct"/>
            <w:hideMark/>
          </w:tcPr>
          <w:p w14:paraId="43CC74DE" w14:textId="77777777" w:rsidR="00BE412A" w:rsidRPr="00BE412A" w:rsidRDefault="00BE412A" w:rsidP="009E430E">
            <w:pPr>
              <w:rPr>
                <w:rFonts w:ascii="Times New Roman" w:hAnsi="Times New Roman" w:cs="Times New Roman"/>
                <w:sz w:val="16"/>
                <w:szCs w:val="16"/>
              </w:rPr>
            </w:pPr>
            <w:r w:rsidRPr="00BE412A">
              <w:rPr>
                <w:rFonts w:ascii="Times New Roman" w:hAnsi="Times New Roman" w:cs="Times New Roman"/>
                <w:sz w:val="16"/>
                <w:szCs w:val="16"/>
              </w:rPr>
              <w:t>LAMR</w:t>
            </w:r>
          </w:p>
        </w:tc>
        <w:tc>
          <w:tcPr>
            <w:tcW w:w="1079" w:type="pct"/>
            <w:hideMark/>
          </w:tcPr>
          <w:p w14:paraId="15AC3BAC" w14:textId="75C60E0A"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Norma adat dan hubungan manusia</w:t>
            </w:r>
            <w:r>
              <w:rPr>
                <w:rFonts w:ascii="Times New Roman" w:hAnsi="Times New Roman" w:cs="Times New Roman"/>
                <w:sz w:val="16"/>
                <w:szCs w:val="16"/>
                <w:lang w:val="sv-SE"/>
              </w:rPr>
              <w:t>-</w:t>
            </w:r>
            <w:r w:rsidRPr="00BE412A">
              <w:rPr>
                <w:rFonts w:ascii="Times New Roman" w:hAnsi="Times New Roman" w:cs="Times New Roman"/>
                <w:sz w:val="16"/>
                <w:szCs w:val="16"/>
                <w:lang w:val="sv-SE"/>
              </w:rPr>
              <w:t>alam</w:t>
            </w:r>
          </w:p>
        </w:tc>
        <w:tc>
          <w:tcPr>
            <w:tcW w:w="1246" w:type="pct"/>
            <w:hideMark/>
          </w:tcPr>
          <w:p w14:paraId="0B79F2DB"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Nilai apa yang dipertahankan dan bagaimana norma tersebut dibina?</w:t>
            </w:r>
          </w:p>
        </w:tc>
        <w:tc>
          <w:tcPr>
            <w:tcW w:w="1238" w:type="pct"/>
            <w:hideMark/>
          </w:tcPr>
          <w:p w14:paraId="606665F7"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 xml:space="preserve">Menjelaskan </w:t>
            </w:r>
            <w:r w:rsidRPr="00BE412A">
              <w:rPr>
                <w:rFonts w:ascii="Times New Roman" w:hAnsi="Times New Roman" w:cs="Times New Roman"/>
                <w:i/>
                <w:iCs/>
                <w:sz w:val="16"/>
                <w:szCs w:val="16"/>
                <w:lang w:val="sv-SE"/>
              </w:rPr>
              <w:t>normative repertoire</w:t>
            </w:r>
            <w:r w:rsidRPr="00BE412A">
              <w:rPr>
                <w:rFonts w:ascii="Times New Roman" w:hAnsi="Times New Roman" w:cs="Times New Roman"/>
                <w:sz w:val="16"/>
                <w:szCs w:val="16"/>
                <w:lang w:val="sv-SE"/>
              </w:rPr>
              <w:t xml:space="preserve"> dan transmisi norma</w:t>
            </w:r>
          </w:p>
        </w:tc>
      </w:tr>
      <w:tr w:rsidR="00BE412A" w:rsidRPr="00BE412A" w14:paraId="7EE95D6F" w14:textId="77777777" w:rsidTr="009E430E">
        <w:tc>
          <w:tcPr>
            <w:tcW w:w="1436" w:type="pct"/>
            <w:hideMark/>
          </w:tcPr>
          <w:p w14:paraId="0BAA532C" w14:textId="77777777" w:rsidR="00BE412A" w:rsidRPr="00BE412A" w:rsidRDefault="00BE412A" w:rsidP="009E430E">
            <w:pPr>
              <w:rPr>
                <w:rFonts w:ascii="Times New Roman" w:hAnsi="Times New Roman" w:cs="Times New Roman"/>
                <w:sz w:val="16"/>
                <w:szCs w:val="16"/>
              </w:rPr>
            </w:pPr>
            <w:r w:rsidRPr="00BE412A">
              <w:rPr>
                <w:rFonts w:ascii="Times New Roman" w:hAnsi="Times New Roman" w:cs="Times New Roman"/>
                <w:sz w:val="16"/>
                <w:szCs w:val="16"/>
              </w:rPr>
              <w:t xml:space="preserve">Istana Siak Sri </w:t>
            </w:r>
            <w:proofErr w:type="spellStart"/>
            <w:r w:rsidRPr="00BE412A">
              <w:rPr>
                <w:rFonts w:ascii="Times New Roman" w:hAnsi="Times New Roman" w:cs="Times New Roman"/>
                <w:sz w:val="16"/>
                <w:szCs w:val="16"/>
              </w:rPr>
              <w:t>Indrapura</w:t>
            </w:r>
            <w:proofErr w:type="spellEnd"/>
          </w:p>
        </w:tc>
        <w:tc>
          <w:tcPr>
            <w:tcW w:w="1079" w:type="pct"/>
            <w:hideMark/>
          </w:tcPr>
          <w:p w14:paraId="2045863E"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Sejarah kepemimpinan Sultan Syarif Kasim II</w:t>
            </w:r>
          </w:p>
        </w:tc>
        <w:tc>
          <w:tcPr>
            <w:tcW w:w="1246" w:type="pct"/>
            <w:hideMark/>
          </w:tcPr>
          <w:p w14:paraId="263BC866"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keteladanan historis menjadi sumber norma perilaku?</w:t>
            </w:r>
          </w:p>
        </w:tc>
        <w:tc>
          <w:tcPr>
            <w:tcW w:w="1238" w:type="pct"/>
            <w:hideMark/>
          </w:tcPr>
          <w:p w14:paraId="5E83BCA8"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Menjelaskan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transmisi</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melalui</w:t>
            </w:r>
            <w:proofErr w:type="spellEnd"/>
            <w:r w:rsidRPr="00BE412A">
              <w:rPr>
                <w:rFonts w:ascii="Times New Roman" w:hAnsi="Times New Roman" w:cs="Times New Roman"/>
                <w:sz w:val="16"/>
                <w:szCs w:val="16"/>
              </w:rPr>
              <w:t xml:space="preserve"> </w:t>
            </w:r>
            <w:r w:rsidRPr="00BE412A">
              <w:rPr>
                <w:rFonts w:ascii="Times New Roman" w:hAnsi="Times New Roman" w:cs="Times New Roman"/>
                <w:i/>
                <w:iCs/>
                <w:sz w:val="16"/>
                <w:szCs w:val="16"/>
              </w:rPr>
              <w:t>exemplary leadership</w:t>
            </w:r>
          </w:p>
        </w:tc>
      </w:tr>
      <w:tr w:rsidR="00BE412A" w:rsidRPr="00BE412A" w14:paraId="0A6A9B78" w14:textId="77777777" w:rsidTr="009E430E">
        <w:tc>
          <w:tcPr>
            <w:tcW w:w="1436" w:type="pct"/>
            <w:hideMark/>
          </w:tcPr>
          <w:p w14:paraId="59B25473" w14:textId="77777777" w:rsidR="00BE412A" w:rsidRPr="00BE412A" w:rsidRDefault="00BE412A" w:rsidP="009E430E">
            <w:pPr>
              <w:rPr>
                <w:rFonts w:ascii="Times New Roman" w:hAnsi="Times New Roman" w:cs="Times New Roman"/>
                <w:sz w:val="16"/>
                <w:szCs w:val="16"/>
              </w:rPr>
            </w:pPr>
            <w:r w:rsidRPr="00BE412A">
              <w:rPr>
                <w:rFonts w:ascii="Times New Roman" w:hAnsi="Times New Roman" w:cs="Times New Roman"/>
                <w:sz w:val="16"/>
                <w:szCs w:val="16"/>
              </w:rPr>
              <w:t>Museum Sang Nila Utama</w:t>
            </w:r>
          </w:p>
        </w:tc>
        <w:tc>
          <w:tcPr>
            <w:tcW w:w="1079" w:type="pct"/>
            <w:hideMark/>
          </w:tcPr>
          <w:p w14:paraId="295E93A0"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Artefak, sejarah, dan pendidikan budaya</w:t>
            </w:r>
          </w:p>
        </w:tc>
        <w:tc>
          <w:tcPr>
            <w:tcW w:w="1246" w:type="pct"/>
            <w:hideMark/>
          </w:tcPr>
          <w:p w14:paraId="2C521E6B"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sejarah dan identitas dikomunikasikan kepada generasi berikutnya?</w:t>
            </w:r>
          </w:p>
        </w:tc>
        <w:tc>
          <w:tcPr>
            <w:tcW w:w="1238" w:type="pct"/>
            <w:hideMark/>
          </w:tcPr>
          <w:p w14:paraId="6565B8AC"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Menjelaskan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infrastruktur</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transmisi</w:t>
            </w:r>
            <w:proofErr w:type="spellEnd"/>
          </w:p>
        </w:tc>
      </w:tr>
      <w:tr w:rsidR="00BE412A" w:rsidRPr="00BE412A" w14:paraId="310CE0F7" w14:textId="77777777" w:rsidTr="009E430E">
        <w:tc>
          <w:tcPr>
            <w:tcW w:w="1436" w:type="pct"/>
            <w:hideMark/>
          </w:tcPr>
          <w:p w14:paraId="36DAFD2C"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Wawancara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aktor</w:t>
            </w:r>
            <w:proofErr w:type="spellEnd"/>
          </w:p>
        </w:tc>
        <w:tc>
          <w:tcPr>
            <w:tcW w:w="1079" w:type="pct"/>
            <w:hideMark/>
          </w:tcPr>
          <w:p w14:paraId="0A2F4BC4"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Interpretasi</w:t>
            </w:r>
            <w:proofErr w:type="spellEnd"/>
            <w:r w:rsidRPr="00BE412A">
              <w:rPr>
                <w:rFonts w:ascii="Times New Roman" w:hAnsi="Times New Roman" w:cs="Times New Roman"/>
                <w:sz w:val="16"/>
                <w:szCs w:val="16"/>
              </w:rPr>
              <w:t xml:space="preserve"> dan </w:t>
            </w:r>
            <w:proofErr w:type="spellStart"/>
            <w:r w:rsidRPr="00BE412A">
              <w:rPr>
                <w:rFonts w:ascii="Times New Roman" w:hAnsi="Times New Roman" w:cs="Times New Roman"/>
                <w:sz w:val="16"/>
                <w:szCs w:val="16"/>
              </w:rPr>
              <w:t>pengalaman</w:t>
            </w:r>
            <w:proofErr w:type="spellEnd"/>
          </w:p>
        </w:tc>
        <w:tc>
          <w:tcPr>
            <w:tcW w:w="1246" w:type="pct"/>
            <w:hideMark/>
          </w:tcPr>
          <w:p w14:paraId="537A5C51"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aktor memaknai, menerapkan, atau melihat pelemahan norma?</w:t>
            </w:r>
          </w:p>
        </w:tc>
        <w:tc>
          <w:tcPr>
            <w:tcW w:w="1238" w:type="pct"/>
            <w:hideMark/>
          </w:tcPr>
          <w:p w14:paraId="18347F85"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Mengidentifikasi mekanisme dan variasi interpretasi</w:t>
            </w:r>
          </w:p>
        </w:tc>
      </w:tr>
      <w:tr w:rsidR="00BE412A" w:rsidRPr="00BE412A" w14:paraId="49DF7DC2" w14:textId="77777777" w:rsidTr="009E430E">
        <w:tc>
          <w:tcPr>
            <w:tcW w:w="1436" w:type="pct"/>
            <w:hideMark/>
          </w:tcPr>
          <w:p w14:paraId="561F40CA"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Observasi</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lapangan</w:t>
            </w:r>
            <w:proofErr w:type="spellEnd"/>
          </w:p>
        </w:tc>
        <w:tc>
          <w:tcPr>
            <w:tcW w:w="1079" w:type="pct"/>
            <w:hideMark/>
          </w:tcPr>
          <w:p w14:paraId="08057627"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Praktik</w:t>
            </w:r>
            <w:proofErr w:type="spellEnd"/>
            <w:r w:rsidRPr="00BE412A">
              <w:rPr>
                <w:rFonts w:ascii="Times New Roman" w:hAnsi="Times New Roman" w:cs="Times New Roman"/>
                <w:sz w:val="16"/>
                <w:szCs w:val="16"/>
              </w:rPr>
              <w:t xml:space="preserve"> dan </w:t>
            </w:r>
            <w:proofErr w:type="spellStart"/>
            <w:r w:rsidRPr="00BE412A">
              <w:rPr>
                <w:rFonts w:ascii="Times New Roman" w:hAnsi="Times New Roman" w:cs="Times New Roman"/>
                <w:sz w:val="16"/>
                <w:szCs w:val="16"/>
              </w:rPr>
              <w:t>konteks</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kelembagaan</w:t>
            </w:r>
            <w:proofErr w:type="spellEnd"/>
          </w:p>
        </w:tc>
        <w:tc>
          <w:tcPr>
            <w:tcW w:w="1246" w:type="pct"/>
            <w:hideMark/>
          </w:tcPr>
          <w:p w14:paraId="549277CE"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Apakah narasi normatif memiliki padanan dalam praktik?</w:t>
            </w:r>
          </w:p>
        </w:tc>
        <w:tc>
          <w:tcPr>
            <w:tcW w:w="1238" w:type="pct"/>
            <w:hideMark/>
          </w:tcPr>
          <w:p w14:paraId="120AF82C"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Memeriksa kesesuaian antara narasi dan praktik</w:t>
            </w:r>
          </w:p>
        </w:tc>
      </w:tr>
      <w:tr w:rsidR="00BE412A" w:rsidRPr="00BE412A" w14:paraId="22A24D48" w14:textId="77777777" w:rsidTr="009E430E">
        <w:tc>
          <w:tcPr>
            <w:tcW w:w="1436" w:type="pct"/>
            <w:hideMark/>
          </w:tcPr>
          <w:p w14:paraId="1DE86A26"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Dokumen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budaya</w:t>
            </w:r>
            <w:proofErr w:type="spellEnd"/>
            <w:r w:rsidRPr="00BE412A">
              <w:rPr>
                <w:rFonts w:ascii="Times New Roman" w:hAnsi="Times New Roman" w:cs="Times New Roman"/>
                <w:sz w:val="16"/>
                <w:szCs w:val="16"/>
              </w:rPr>
              <w:t>/</w:t>
            </w:r>
            <w:proofErr w:type="spellStart"/>
            <w:r w:rsidRPr="00BE412A">
              <w:rPr>
                <w:rFonts w:ascii="Times New Roman" w:hAnsi="Times New Roman" w:cs="Times New Roman"/>
                <w:sz w:val="16"/>
                <w:szCs w:val="16"/>
              </w:rPr>
              <w:t>sejarah</w:t>
            </w:r>
            <w:proofErr w:type="spellEnd"/>
          </w:p>
        </w:tc>
        <w:tc>
          <w:tcPr>
            <w:tcW w:w="1079" w:type="pct"/>
            <w:hideMark/>
          </w:tcPr>
          <w:p w14:paraId="783CF224"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Formulasi</w:t>
            </w:r>
            <w:proofErr w:type="spellEnd"/>
            <w:r w:rsidRPr="00BE412A">
              <w:rPr>
                <w:rFonts w:ascii="Times New Roman" w:hAnsi="Times New Roman" w:cs="Times New Roman"/>
                <w:sz w:val="16"/>
                <w:szCs w:val="16"/>
              </w:rPr>
              <w:t xml:space="preserve"> dan </w:t>
            </w:r>
            <w:proofErr w:type="spellStart"/>
            <w:r w:rsidRPr="00BE412A">
              <w:rPr>
                <w:rFonts w:ascii="Times New Roman" w:hAnsi="Times New Roman" w:cs="Times New Roman"/>
                <w:sz w:val="16"/>
                <w:szCs w:val="16"/>
              </w:rPr>
              <w:t>kontinuitas</w:t>
            </w:r>
            <w:proofErr w:type="spellEnd"/>
            <w:r w:rsidRPr="00BE412A">
              <w:rPr>
                <w:rFonts w:ascii="Times New Roman" w:hAnsi="Times New Roman" w:cs="Times New Roman"/>
                <w:sz w:val="16"/>
                <w:szCs w:val="16"/>
              </w:rPr>
              <w:t xml:space="preserve"> norma</w:t>
            </w:r>
          </w:p>
        </w:tc>
        <w:tc>
          <w:tcPr>
            <w:tcW w:w="1246" w:type="pct"/>
            <w:hideMark/>
          </w:tcPr>
          <w:p w14:paraId="55225413"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nilai didefinisikan dan diwariskan?</w:t>
            </w:r>
          </w:p>
        </w:tc>
        <w:tc>
          <w:tcPr>
            <w:tcW w:w="1238" w:type="pct"/>
            <w:hideMark/>
          </w:tcPr>
          <w:p w14:paraId="210046A1"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Menelusuri</w:t>
            </w:r>
            <w:proofErr w:type="spellEnd"/>
            <w:r w:rsidRPr="00BE412A">
              <w:rPr>
                <w:rFonts w:ascii="Times New Roman" w:hAnsi="Times New Roman" w:cs="Times New Roman"/>
                <w:sz w:val="16"/>
                <w:szCs w:val="16"/>
              </w:rPr>
              <w:t xml:space="preserve"> </w:t>
            </w:r>
            <w:r w:rsidRPr="00BE412A">
              <w:rPr>
                <w:rFonts w:ascii="Times New Roman" w:hAnsi="Times New Roman" w:cs="Times New Roman"/>
                <w:i/>
                <w:iCs/>
                <w:sz w:val="16"/>
                <w:szCs w:val="16"/>
              </w:rPr>
              <w:t>normative continuity</w:t>
            </w:r>
          </w:p>
        </w:tc>
      </w:tr>
      <w:tr w:rsidR="00BE412A" w:rsidRPr="00BE412A" w14:paraId="5737E18B" w14:textId="77777777" w:rsidTr="009E430E">
        <w:tc>
          <w:tcPr>
            <w:tcW w:w="1436" w:type="pct"/>
            <w:hideMark/>
          </w:tcPr>
          <w:p w14:paraId="477B7EE0"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Dokumen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kebijakan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energi</w:t>
            </w:r>
            <w:proofErr w:type="spellEnd"/>
          </w:p>
        </w:tc>
        <w:tc>
          <w:tcPr>
            <w:tcW w:w="1079" w:type="pct"/>
            <w:hideMark/>
          </w:tcPr>
          <w:p w14:paraId="67BF284C" w14:textId="77777777" w:rsidR="00BE412A" w:rsidRPr="00BE412A" w:rsidRDefault="00BE412A" w:rsidP="009E430E">
            <w:pPr>
              <w:rPr>
                <w:rFonts w:ascii="Times New Roman" w:hAnsi="Times New Roman" w:cs="Times New Roman"/>
                <w:sz w:val="16"/>
                <w:szCs w:val="16"/>
              </w:rPr>
            </w:pPr>
            <w:r w:rsidRPr="00BE412A">
              <w:rPr>
                <w:rFonts w:ascii="Times New Roman" w:hAnsi="Times New Roman" w:cs="Times New Roman"/>
                <w:sz w:val="16"/>
                <w:szCs w:val="16"/>
              </w:rPr>
              <w:t xml:space="preserve">Tata </w:t>
            </w:r>
            <w:proofErr w:type="spellStart"/>
            <w:r w:rsidRPr="00BE412A">
              <w:rPr>
                <w:rFonts w:ascii="Times New Roman" w:hAnsi="Times New Roman" w:cs="Times New Roman"/>
                <w:sz w:val="16"/>
                <w:szCs w:val="16"/>
              </w:rPr>
              <w:t>kelola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energi</w:t>
            </w:r>
            <w:proofErr w:type="spellEnd"/>
          </w:p>
        </w:tc>
        <w:tc>
          <w:tcPr>
            <w:tcW w:w="1246" w:type="pct"/>
            <w:hideMark/>
          </w:tcPr>
          <w:p w14:paraId="2B79CC0B"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Nilai tata kelola apa yang relevan dengan pengelolaan energi?</w:t>
            </w:r>
          </w:p>
        </w:tc>
        <w:tc>
          <w:tcPr>
            <w:tcW w:w="1238" w:type="pct"/>
            <w:hideMark/>
          </w:tcPr>
          <w:p w14:paraId="7A959311"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Menghubungkan norma budaya dengan domain energi</w:t>
            </w:r>
          </w:p>
        </w:tc>
      </w:tr>
      <w:tr w:rsidR="00BE412A" w:rsidRPr="00BE412A" w14:paraId="77602570" w14:textId="77777777" w:rsidTr="009E430E">
        <w:tc>
          <w:tcPr>
            <w:tcW w:w="1436" w:type="pct"/>
            <w:hideMark/>
          </w:tcPr>
          <w:p w14:paraId="15D480C4"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Dokumen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kebijakan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pertahanan</w:t>
            </w:r>
            <w:proofErr w:type="spellEnd"/>
            <w:r w:rsidRPr="00BE412A">
              <w:rPr>
                <w:rFonts w:ascii="Times New Roman" w:hAnsi="Times New Roman" w:cs="Times New Roman"/>
                <w:sz w:val="16"/>
                <w:szCs w:val="16"/>
              </w:rPr>
              <w:t>/</w:t>
            </w:r>
            <w:proofErr w:type="spellStart"/>
            <w:r w:rsidRPr="00BE412A">
              <w:rPr>
                <w:rFonts w:ascii="Times New Roman" w:hAnsi="Times New Roman" w:cs="Times New Roman"/>
                <w:sz w:val="16"/>
                <w:szCs w:val="16"/>
              </w:rPr>
              <w:t>nasional</w:t>
            </w:r>
            <w:proofErr w:type="spellEnd"/>
          </w:p>
        </w:tc>
        <w:tc>
          <w:tcPr>
            <w:tcW w:w="1079" w:type="pct"/>
            <w:hideMark/>
          </w:tcPr>
          <w:p w14:paraId="145CAEEE"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Ketahanan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nasional</w:t>
            </w:r>
            <w:proofErr w:type="spellEnd"/>
          </w:p>
        </w:tc>
        <w:tc>
          <w:tcPr>
            <w:tcW w:w="1246" w:type="pct"/>
            <w:hideMark/>
          </w:tcPr>
          <w:p w14:paraId="42AF9E21"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energi ditempatkan sebagai kepentingan strategis?</w:t>
            </w:r>
          </w:p>
        </w:tc>
        <w:tc>
          <w:tcPr>
            <w:tcW w:w="1238" w:type="pct"/>
            <w:hideMark/>
          </w:tcPr>
          <w:p w14:paraId="66521E45"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Menetapkan konteks keamanan dari implikasi temuan</w:t>
            </w:r>
          </w:p>
        </w:tc>
      </w:tr>
    </w:tbl>
    <w:p w14:paraId="3E893ADD" w14:textId="77777777" w:rsidR="00BE412A" w:rsidRPr="008E0AE3" w:rsidRDefault="00BE412A" w:rsidP="00BE412A">
      <w:pPr>
        <w:spacing w:after="0" w:line="240" w:lineRule="auto"/>
        <w:rPr>
          <w:rFonts w:ascii="Times New Roman" w:hAnsi="Times New Roman" w:cs="Times New Roman"/>
        </w:rPr>
      </w:pPr>
    </w:p>
    <w:p w14:paraId="31A40FD2" w14:textId="77777777" w:rsidR="00BE412A" w:rsidRPr="007B0E57" w:rsidRDefault="00BE412A" w:rsidP="00BE412A">
      <w:pPr>
        <w:spacing w:after="0" w:line="240" w:lineRule="auto"/>
        <w:ind w:firstLine="709"/>
        <w:jc w:val="both"/>
        <w:rPr>
          <w:rFonts w:ascii="Times New Roman" w:hAnsi="Times New Roman" w:cs="Times New Roman"/>
        </w:rPr>
      </w:pPr>
      <w:r w:rsidRPr="008E0AE3">
        <w:rPr>
          <w:rFonts w:ascii="Times New Roman" w:hAnsi="Times New Roman" w:cs="Times New Roman"/>
        </w:rPr>
        <w:t xml:space="preserve">Analisis dilakukan secara tematik dan interpretatif dengan proses </w:t>
      </w:r>
      <w:proofErr w:type="spellStart"/>
      <w:r w:rsidRPr="008E0AE3">
        <w:rPr>
          <w:rFonts w:ascii="Times New Roman" w:hAnsi="Times New Roman" w:cs="Times New Roman"/>
        </w:rPr>
        <w:t>pengeodean</w:t>
      </w:r>
      <w:proofErr w:type="spellEnd"/>
      <w:r w:rsidRPr="008E0AE3">
        <w:rPr>
          <w:rFonts w:ascii="Times New Roman" w:hAnsi="Times New Roman" w:cs="Times New Roman"/>
        </w:rPr>
        <w:t xml:space="preserve"> </w:t>
      </w:r>
      <w:r w:rsidRPr="008E0AE3">
        <w:rPr>
          <w:rFonts w:ascii="Times New Roman" w:hAnsi="Times New Roman" w:cs="Times New Roman"/>
        </w:rPr>
        <w:t>(</w:t>
      </w:r>
      <w:proofErr w:type="spellStart"/>
      <w:r w:rsidRPr="008E0AE3">
        <w:rPr>
          <w:rFonts w:ascii="Times New Roman" w:hAnsi="Times New Roman" w:cs="Times New Roman"/>
          <w:i/>
          <w:iCs/>
        </w:rPr>
        <w:t>coding</w:t>
      </w:r>
      <w:proofErr w:type="spellEnd"/>
      <w:r w:rsidRPr="008E0AE3">
        <w:rPr>
          <w:rFonts w:ascii="Times New Roman" w:hAnsi="Times New Roman" w:cs="Times New Roman"/>
        </w:rPr>
        <w:t xml:space="preserve">) yang diarahkan oleh kerangka konseptual tetapi tetap membuka ruang bagi kategori yang muncul dari data. Analisis berlangsung dalam empat tahap. </w:t>
      </w:r>
      <w:r w:rsidRPr="007B0E57">
        <w:rPr>
          <w:rFonts w:ascii="Times New Roman" w:hAnsi="Times New Roman" w:cs="Times New Roman"/>
        </w:rPr>
        <w:t xml:space="preserve">Tahap pertama memetakan </w:t>
      </w:r>
      <w:proofErr w:type="spellStart"/>
      <w:r w:rsidRPr="007B0E57">
        <w:rPr>
          <w:rFonts w:ascii="Times New Roman" w:hAnsi="Times New Roman" w:cs="Times New Roman"/>
          <w:i/>
          <w:iCs/>
        </w:rPr>
        <w:t>cultural</w:t>
      </w:r>
      <w:proofErr w:type="spellEnd"/>
      <w:r w:rsidRPr="007B0E57">
        <w:rPr>
          <w:rFonts w:ascii="Times New Roman" w:hAnsi="Times New Roman" w:cs="Times New Roman"/>
          <w:i/>
          <w:iCs/>
        </w:rPr>
        <w:t xml:space="preserve"> </w:t>
      </w:r>
      <w:proofErr w:type="spellStart"/>
      <w:r w:rsidRPr="007B0E57">
        <w:rPr>
          <w:rFonts w:ascii="Times New Roman" w:hAnsi="Times New Roman" w:cs="Times New Roman"/>
          <w:i/>
          <w:iCs/>
        </w:rPr>
        <w:t>repertoire</w:t>
      </w:r>
      <w:proofErr w:type="spellEnd"/>
      <w:r w:rsidRPr="007B0E57">
        <w:rPr>
          <w:rFonts w:ascii="Times New Roman" w:hAnsi="Times New Roman" w:cs="Times New Roman"/>
        </w:rPr>
        <w:t xml:space="preserve">, yaitu mengidentifikasi nilai-nilai yang sering muncul dalam wawancara, observasi, dan dokumen. Nilai-nilai utama yang ditemukan meliputi amanah, </w:t>
      </w:r>
      <w:proofErr w:type="spellStart"/>
      <w:r w:rsidRPr="007B0E57">
        <w:rPr>
          <w:rFonts w:ascii="Times New Roman" w:hAnsi="Times New Roman" w:cs="Times New Roman"/>
        </w:rPr>
        <w:t>marwah</w:t>
      </w:r>
      <w:proofErr w:type="spellEnd"/>
      <w:r w:rsidRPr="007B0E57">
        <w:rPr>
          <w:rFonts w:ascii="Times New Roman" w:hAnsi="Times New Roman" w:cs="Times New Roman"/>
        </w:rPr>
        <w:t>, integritas, musyawarah, gotong royong, tanggung jawab, kepedulian lingkungan, pengorbanan, kepemimpinan, dan orientasi kepentingan bersama. Penting untuk dicatat bahwa tahap ini hanya memetakan nilai apa yang tersedia, bukan membuktikan apakah nilai-nilai tersebut benar-benar berfungsi sebagai institusi.</w:t>
      </w:r>
    </w:p>
    <w:p w14:paraId="7DFFB577" w14:textId="77777777" w:rsidR="00BE412A" w:rsidRPr="007B0E57" w:rsidRDefault="00BE412A" w:rsidP="00BE412A">
      <w:pPr>
        <w:spacing w:after="0" w:line="240" w:lineRule="auto"/>
        <w:ind w:firstLine="709"/>
        <w:jc w:val="both"/>
        <w:rPr>
          <w:rFonts w:ascii="Times New Roman" w:hAnsi="Times New Roman" w:cs="Times New Roman"/>
        </w:rPr>
      </w:pPr>
      <w:r w:rsidRPr="007B0E57">
        <w:rPr>
          <w:rFonts w:ascii="Times New Roman" w:hAnsi="Times New Roman" w:cs="Times New Roman"/>
        </w:rPr>
        <w:t xml:space="preserve">Tahap kedua menelusuri transmisi norma, yaitu bagaimana nilai-nilai tersebut diteruskan. Data dikodekan berdasarkan mekanisme transmisinya seperti pendidikan, pembinaan, keteladanan, sejarah, artefak, kegiatan budaya, narasi kelembagaan, dan interaksi </w:t>
      </w:r>
      <w:proofErr w:type="spellStart"/>
      <w:r w:rsidRPr="007B0E57">
        <w:rPr>
          <w:rFonts w:ascii="Times New Roman" w:hAnsi="Times New Roman" w:cs="Times New Roman"/>
        </w:rPr>
        <w:t>antargenerasi</w:t>
      </w:r>
      <w:proofErr w:type="spellEnd"/>
      <w:r w:rsidRPr="007B0E57">
        <w:rPr>
          <w:rFonts w:ascii="Times New Roman" w:hAnsi="Times New Roman" w:cs="Times New Roman"/>
        </w:rPr>
        <w:t xml:space="preserve">. </w:t>
      </w:r>
      <w:r w:rsidRPr="008E0AE3">
        <w:rPr>
          <w:rFonts w:ascii="Times New Roman" w:hAnsi="Times New Roman" w:cs="Times New Roman"/>
        </w:rPr>
        <w:t>Misalnya</w:t>
      </w:r>
      <w:r w:rsidRPr="007B0E57">
        <w:rPr>
          <w:rFonts w:ascii="Times New Roman" w:hAnsi="Times New Roman" w:cs="Times New Roman"/>
        </w:rPr>
        <w:t>, LAMR mentransmisikan nilai melalui pembinaan dan kegiatan budaya, sementara museum melakukannya melalui artefak dan dokumentasi sejarah. Dengan kata lain, tahap ini menjelaskan bagaimana nilai bergerak dari sekadar warisan normatif menjadi pedoman bagi generasi berikutnya.</w:t>
      </w:r>
    </w:p>
    <w:p w14:paraId="55E18FB0" w14:textId="77777777" w:rsidR="00BE412A" w:rsidRPr="007B0E57" w:rsidRDefault="00BE412A" w:rsidP="00BE412A">
      <w:pPr>
        <w:spacing w:after="0" w:line="240" w:lineRule="auto"/>
        <w:ind w:firstLine="709"/>
        <w:jc w:val="both"/>
        <w:rPr>
          <w:rFonts w:ascii="Times New Roman" w:hAnsi="Times New Roman" w:cs="Times New Roman"/>
        </w:rPr>
      </w:pPr>
      <w:r w:rsidRPr="007B0E57">
        <w:rPr>
          <w:rFonts w:ascii="Times New Roman" w:hAnsi="Times New Roman" w:cs="Times New Roman"/>
        </w:rPr>
        <w:t xml:space="preserve">Tahap ketiga merupakan inti analisis, yaitu mengidentifikasi </w:t>
      </w:r>
      <w:proofErr w:type="spellStart"/>
      <w:r w:rsidRPr="007B0E57">
        <w:rPr>
          <w:rFonts w:ascii="Times New Roman" w:hAnsi="Times New Roman" w:cs="Times New Roman"/>
        </w:rPr>
        <w:t>institusionalisasi</w:t>
      </w:r>
      <w:proofErr w:type="spellEnd"/>
      <w:r w:rsidRPr="007B0E57">
        <w:rPr>
          <w:rFonts w:ascii="Times New Roman" w:hAnsi="Times New Roman" w:cs="Times New Roman"/>
        </w:rPr>
        <w:t xml:space="preserve"> informal. Suatu nilai baru dianggap sebagai norma informal yang </w:t>
      </w:r>
      <w:proofErr w:type="spellStart"/>
      <w:r w:rsidRPr="007B0E57">
        <w:rPr>
          <w:rFonts w:ascii="Times New Roman" w:hAnsi="Times New Roman" w:cs="Times New Roman"/>
        </w:rPr>
        <w:t>terinstitusionalisasi</w:t>
      </w:r>
      <w:proofErr w:type="spellEnd"/>
      <w:r w:rsidRPr="007B0E57">
        <w:rPr>
          <w:rFonts w:ascii="Times New Roman" w:hAnsi="Times New Roman" w:cs="Times New Roman"/>
        </w:rPr>
        <w:t xml:space="preserve"> jika bukti menunjukkan bahwa nilai tersebut membentuk ekspektasi perilaku atau aturan sosial di luar regulasi formal. </w:t>
      </w:r>
      <w:r w:rsidRPr="008E0AE3">
        <w:rPr>
          <w:rFonts w:ascii="Times New Roman" w:hAnsi="Times New Roman" w:cs="Times New Roman"/>
        </w:rPr>
        <w:t>Contohnya</w:t>
      </w:r>
      <w:r w:rsidRPr="007B0E57">
        <w:rPr>
          <w:rFonts w:ascii="Times New Roman" w:hAnsi="Times New Roman" w:cs="Times New Roman"/>
        </w:rPr>
        <w:t>, nilai amanah dipahami sebagai kewajiban moral untuk tidak menyalahgunakan sumber daya, sementara gotong royong menciptakan ekspektasi untuk menyelesaikan masalah secara bersama-sama. Namun, pemetaan ini hanyalah hipotesis awal. Kategori ini baru akan diterima jika terdapat bukti empiris yang kuat bahwa nilai-nilai tersebut benar-benar membatasi atau mengarahkan perilaku nyata.</w:t>
      </w:r>
    </w:p>
    <w:p w14:paraId="49523DB6" w14:textId="77777777" w:rsidR="00BE412A" w:rsidRPr="007B0E57" w:rsidRDefault="00BE412A" w:rsidP="00BE412A">
      <w:pPr>
        <w:spacing w:after="0" w:line="240" w:lineRule="auto"/>
        <w:ind w:firstLine="709"/>
        <w:jc w:val="both"/>
        <w:rPr>
          <w:rFonts w:ascii="Times New Roman" w:hAnsi="Times New Roman" w:cs="Times New Roman"/>
        </w:rPr>
      </w:pPr>
      <w:r w:rsidRPr="007B0E57">
        <w:rPr>
          <w:rFonts w:ascii="Times New Roman" w:hAnsi="Times New Roman" w:cs="Times New Roman"/>
        </w:rPr>
        <w:t xml:space="preserve">Tahap terakhir menguji apakah norma-norma yang telah teridentifikasi benar-benar mewujud dalam praktik tata kelola, seperti koordinasi, musyawarah, pengendalian diri, akuntabilitas, tanggung jawab pengelolaan, tanggung jawab sosial, dan orientasi kepentingan bersama. Perlu ditegaskan bahwa tujuan tahap ini bukan </w:t>
      </w:r>
      <w:r w:rsidRPr="007B0E57">
        <w:rPr>
          <w:rFonts w:ascii="Times New Roman" w:hAnsi="Times New Roman" w:cs="Times New Roman"/>
        </w:rPr>
        <w:lastRenderedPageBreak/>
        <w:t>untuk membuktikan bahwa praktik-praktik tersebut secara langsung meningkatkan indeks ketahanan energi, karena penelitian ini tidak dirancang untuk menguji hubungan kausal. Tujuan utamanya adalah menunjukkan jalur konseptual dan empiris yang menghubungkan norma budaya dengan tata kelola sumber daya strategis.</w:t>
      </w:r>
    </w:p>
    <w:p w14:paraId="731642BC" w14:textId="77777777" w:rsidR="00BE412A" w:rsidRPr="008E0AE3" w:rsidRDefault="00BE412A" w:rsidP="00BE412A">
      <w:pPr>
        <w:spacing w:before="240" w:after="0" w:line="240" w:lineRule="auto"/>
        <w:jc w:val="center"/>
        <w:rPr>
          <w:rFonts w:ascii="Times New Roman" w:hAnsi="Times New Roman" w:cs="Times New Roman"/>
          <w:b/>
          <w:bCs/>
        </w:rPr>
      </w:pPr>
      <w:r w:rsidRPr="008E0AE3">
        <w:rPr>
          <w:rFonts w:ascii="Times New Roman" w:hAnsi="Times New Roman" w:cs="Times New Roman"/>
          <w:b/>
          <w:bCs/>
        </w:rPr>
        <w:t>Tabel 2. Korpus Analisis dan Indikator Empiris</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076"/>
        <w:gridCol w:w="804"/>
        <w:gridCol w:w="1214"/>
        <w:gridCol w:w="798"/>
      </w:tblGrid>
      <w:tr w:rsidR="00BE412A" w:rsidRPr="00BE412A" w14:paraId="1C3C0ACB" w14:textId="77777777" w:rsidTr="009E430E">
        <w:tc>
          <w:tcPr>
            <w:tcW w:w="1385" w:type="pct"/>
            <w:vAlign w:val="center"/>
            <w:hideMark/>
          </w:tcPr>
          <w:p w14:paraId="380B1B69" w14:textId="77777777" w:rsidR="00BE412A" w:rsidRPr="00BE412A" w:rsidRDefault="00BE412A" w:rsidP="009E430E">
            <w:pPr>
              <w:jc w:val="center"/>
              <w:rPr>
                <w:rFonts w:ascii="Times New Roman" w:hAnsi="Times New Roman" w:cs="Times New Roman"/>
                <w:b/>
                <w:bCs/>
                <w:sz w:val="16"/>
                <w:szCs w:val="16"/>
              </w:rPr>
            </w:pPr>
            <w:proofErr w:type="spellStart"/>
            <w:r w:rsidRPr="00BE412A">
              <w:rPr>
                <w:rFonts w:ascii="Times New Roman" w:hAnsi="Times New Roman" w:cs="Times New Roman"/>
                <w:b/>
                <w:bCs/>
                <w:sz w:val="16"/>
                <w:szCs w:val="16"/>
              </w:rPr>
              <w:t>Dimensi</w:t>
            </w:r>
            <w:proofErr w:type="spellEnd"/>
            <w:r w:rsidRPr="00BE412A">
              <w:rPr>
                <w:rFonts w:ascii="Times New Roman" w:hAnsi="Times New Roman" w:cs="Times New Roman"/>
                <w:b/>
                <w:bCs/>
                <w:sz w:val="16"/>
                <w:szCs w:val="16"/>
              </w:rPr>
              <w:t xml:space="preserve"> </w:t>
            </w:r>
            <w:proofErr w:type="spellStart"/>
            <w:r w:rsidRPr="00BE412A">
              <w:rPr>
                <w:rFonts w:ascii="Times New Roman" w:hAnsi="Times New Roman" w:cs="Times New Roman"/>
                <w:b/>
                <w:bCs/>
                <w:sz w:val="16"/>
                <w:szCs w:val="16"/>
              </w:rPr>
              <w:t>analisis</w:t>
            </w:r>
            <w:proofErr w:type="spellEnd"/>
          </w:p>
        </w:tc>
        <w:tc>
          <w:tcPr>
            <w:tcW w:w="1026" w:type="pct"/>
            <w:vAlign w:val="center"/>
            <w:hideMark/>
          </w:tcPr>
          <w:p w14:paraId="1D276164" w14:textId="77777777" w:rsidR="00BE412A" w:rsidRPr="00BE412A" w:rsidRDefault="00BE412A" w:rsidP="009E430E">
            <w:pPr>
              <w:jc w:val="center"/>
              <w:rPr>
                <w:rFonts w:ascii="Times New Roman" w:hAnsi="Times New Roman" w:cs="Times New Roman"/>
                <w:b/>
                <w:bCs/>
                <w:sz w:val="16"/>
                <w:szCs w:val="16"/>
              </w:rPr>
            </w:pPr>
            <w:proofErr w:type="spellStart"/>
            <w:r w:rsidRPr="00BE412A">
              <w:rPr>
                <w:rFonts w:ascii="Times New Roman" w:hAnsi="Times New Roman" w:cs="Times New Roman"/>
                <w:b/>
                <w:bCs/>
                <w:sz w:val="16"/>
                <w:szCs w:val="16"/>
              </w:rPr>
              <w:t>Pertanyaan</w:t>
            </w:r>
            <w:proofErr w:type="spellEnd"/>
            <w:r w:rsidRPr="00BE412A">
              <w:rPr>
                <w:rFonts w:ascii="Times New Roman" w:hAnsi="Times New Roman" w:cs="Times New Roman"/>
                <w:b/>
                <w:bCs/>
                <w:sz w:val="16"/>
                <w:szCs w:val="16"/>
              </w:rPr>
              <w:t xml:space="preserve"> </w:t>
            </w:r>
            <w:proofErr w:type="spellStart"/>
            <w:r w:rsidRPr="00BE412A">
              <w:rPr>
                <w:rFonts w:ascii="Times New Roman" w:hAnsi="Times New Roman" w:cs="Times New Roman"/>
                <w:b/>
                <w:bCs/>
                <w:sz w:val="16"/>
                <w:szCs w:val="16"/>
              </w:rPr>
              <w:t>Analitis</w:t>
            </w:r>
            <w:proofErr w:type="spellEnd"/>
          </w:p>
        </w:tc>
        <w:tc>
          <w:tcPr>
            <w:tcW w:w="1570" w:type="pct"/>
            <w:vAlign w:val="center"/>
            <w:hideMark/>
          </w:tcPr>
          <w:p w14:paraId="0ACFEF6E" w14:textId="77777777" w:rsidR="00BE412A" w:rsidRPr="00BE412A" w:rsidRDefault="00BE412A" w:rsidP="009E430E">
            <w:pPr>
              <w:jc w:val="center"/>
              <w:rPr>
                <w:rFonts w:ascii="Times New Roman" w:hAnsi="Times New Roman" w:cs="Times New Roman"/>
                <w:b/>
                <w:bCs/>
                <w:sz w:val="16"/>
                <w:szCs w:val="16"/>
              </w:rPr>
            </w:pPr>
            <w:r w:rsidRPr="00BE412A">
              <w:rPr>
                <w:rFonts w:ascii="Times New Roman" w:hAnsi="Times New Roman" w:cs="Times New Roman"/>
                <w:b/>
                <w:bCs/>
                <w:sz w:val="16"/>
                <w:szCs w:val="16"/>
              </w:rPr>
              <w:t xml:space="preserve">Bukti yang </w:t>
            </w:r>
            <w:proofErr w:type="spellStart"/>
            <w:r w:rsidRPr="00BE412A">
              <w:rPr>
                <w:rFonts w:ascii="Times New Roman" w:hAnsi="Times New Roman" w:cs="Times New Roman"/>
                <w:b/>
                <w:bCs/>
                <w:sz w:val="16"/>
                <w:szCs w:val="16"/>
              </w:rPr>
              <w:t>Dicari</w:t>
            </w:r>
            <w:proofErr w:type="spellEnd"/>
          </w:p>
        </w:tc>
        <w:tc>
          <w:tcPr>
            <w:tcW w:w="1018" w:type="pct"/>
            <w:vAlign w:val="center"/>
            <w:hideMark/>
          </w:tcPr>
          <w:p w14:paraId="662107FB" w14:textId="77777777" w:rsidR="00BE412A" w:rsidRPr="00BE412A" w:rsidRDefault="00BE412A" w:rsidP="009E430E">
            <w:pPr>
              <w:jc w:val="center"/>
              <w:rPr>
                <w:rFonts w:ascii="Times New Roman" w:hAnsi="Times New Roman" w:cs="Times New Roman"/>
                <w:b/>
                <w:bCs/>
                <w:sz w:val="16"/>
                <w:szCs w:val="16"/>
              </w:rPr>
            </w:pPr>
            <w:proofErr w:type="spellStart"/>
            <w:r w:rsidRPr="00BE412A">
              <w:rPr>
                <w:rFonts w:ascii="Times New Roman" w:hAnsi="Times New Roman" w:cs="Times New Roman"/>
                <w:b/>
                <w:bCs/>
                <w:sz w:val="16"/>
                <w:szCs w:val="16"/>
              </w:rPr>
              <w:t>Sumber</w:t>
            </w:r>
            <w:proofErr w:type="spellEnd"/>
            <w:r w:rsidRPr="00BE412A">
              <w:rPr>
                <w:rFonts w:ascii="Times New Roman" w:hAnsi="Times New Roman" w:cs="Times New Roman"/>
                <w:b/>
                <w:bCs/>
                <w:sz w:val="16"/>
                <w:szCs w:val="16"/>
              </w:rPr>
              <w:t xml:space="preserve"> Utama</w:t>
            </w:r>
          </w:p>
        </w:tc>
      </w:tr>
      <w:tr w:rsidR="00BE412A" w:rsidRPr="00BE412A" w14:paraId="0F36D09E" w14:textId="77777777" w:rsidTr="009E430E">
        <w:tc>
          <w:tcPr>
            <w:tcW w:w="1385" w:type="pct"/>
            <w:hideMark/>
          </w:tcPr>
          <w:p w14:paraId="4676C2B8"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Cultural repertoire</w:t>
            </w:r>
          </w:p>
        </w:tc>
        <w:tc>
          <w:tcPr>
            <w:tcW w:w="1026" w:type="pct"/>
            <w:hideMark/>
          </w:tcPr>
          <w:p w14:paraId="5518F6CB" w14:textId="77777777" w:rsidR="00BE412A" w:rsidRPr="00975F8F" w:rsidRDefault="00BE412A" w:rsidP="009E430E">
            <w:pPr>
              <w:rPr>
                <w:rFonts w:ascii="Times New Roman" w:hAnsi="Times New Roman" w:cs="Times New Roman"/>
                <w:sz w:val="16"/>
                <w:szCs w:val="16"/>
                <w:lang w:val="pt-BR"/>
              </w:rPr>
            </w:pPr>
            <w:r w:rsidRPr="00975F8F">
              <w:rPr>
                <w:rFonts w:ascii="Times New Roman" w:hAnsi="Times New Roman" w:cs="Times New Roman"/>
                <w:sz w:val="16"/>
                <w:szCs w:val="16"/>
                <w:lang w:val="pt-BR"/>
              </w:rPr>
              <w:t>Nilai apa yang tersedia sebagai sumber norma?</w:t>
            </w:r>
          </w:p>
        </w:tc>
        <w:tc>
          <w:tcPr>
            <w:tcW w:w="1570" w:type="pct"/>
            <w:hideMark/>
          </w:tcPr>
          <w:p w14:paraId="39C09D71"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Amanah, integritas, gotong royong, musyawarah, tanggung jawab, kepedulian lingkungan, pengorbanan, kepentingan bersama</w:t>
            </w:r>
          </w:p>
        </w:tc>
        <w:tc>
          <w:tcPr>
            <w:tcW w:w="1018" w:type="pct"/>
            <w:hideMark/>
          </w:tcPr>
          <w:p w14:paraId="2D64CDC5" w14:textId="77777777" w:rsidR="00BE412A" w:rsidRPr="00BE412A" w:rsidRDefault="00BE412A" w:rsidP="009E430E">
            <w:pPr>
              <w:rPr>
                <w:rFonts w:ascii="Times New Roman" w:hAnsi="Times New Roman" w:cs="Times New Roman"/>
                <w:sz w:val="16"/>
                <w:szCs w:val="16"/>
              </w:rPr>
            </w:pPr>
            <w:r w:rsidRPr="00BE412A">
              <w:rPr>
                <w:rFonts w:ascii="Times New Roman" w:hAnsi="Times New Roman" w:cs="Times New Roman"/>
                <w:sz w:val="16"/>
                <w:szCs w:val="16"/>
              </w:rPr>
              <w:t>LAMR, Istana Siak, Museum</w:t>
            </w:r>
          </w:p>
        </w:tc>
      </w:tr>
      <w:tr w:rsidR="00BE412A" w:rsidRPr="00BE412A" w14:paraId="4F337F04" w14:textId="77777777" w:rsidTr="009E430E">
        <w:tc>
          <w:tcPr>
            <w:tcW w:w="1385" w:type="pct"/>
            <w:hideMark/>
          </w:tcPr>
          <w:p w14:paraId="44EDECE7"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Norm transmission</w:t>
            </w:r>
          </w:p>
        </w:tc>
        <w:tc>
          <w:tcPr>
            <w:tcW w:w="1026" w:type="pct"/>
            <w:hideMark/>
          </w:tcPr>
          <w:p w14:paraId="76A639E6"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nilai diwariskan kepada generasi berikutnya?</w:t>
            </w:r>
          </w:p>
        </w:tc>
        <w:tc>
          <w:tcPr>
            <w:tcW w:w="1570" w:type="pct"/>
            <w:hideMark/>
          </w:tcPr>
          <w:p w14:paraId="6208208B"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Pendidikan, pembinaan, keteladanan, sejarah, artefak, kegiatan budaya, narasi kelembagaan</w:t>
            </w:r>
          </w:p>
        </w:tc>
        <w:tc>
          <w:tcPr>
            <w:tcW w:w="1018" w:type="pct"/>
            <w:hideMark/>
          </w:tcPr>
          <w:p w14:paraId="6CD5553A"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Wawancara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observasi</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dokumen</w:t>
            </w:r>
            <w:proofErr w:type="spellEnd"/>
          </w:p>
        </w:tc>
      </w:tr>
      <w:tr w:rsidR="00BE412A" w:rsidRPr="00BE412A" w14:paraId="1FB24B98" w14:textId="77777777" w:rsidTr="009E430E">
        <w:tc>
          <w:tcPr>
            <w:tcW w:w="1385" w:type="pct"/>
            <w:hideMark/>
          </w:tcPr>
          <w:p w14:paraId="059C9A7E"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Norm interpretation</w:t>
            </w:r>
          </w:p>
        </w:tc>
        <w:tc>
          <w:tcPr>
            <w:tcW w:w="1026" w:type="pct"/>
            <w:hideMark/>
          </w:tcPr>
          <w:p w14:paraId="63DF85AC"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Makna perilaku apa yang dilekatkan pada nilai?</w:t>
            </w:r>
          </w:p>
        </w:tc>
        <w:tc>
          <w:tcPr>
            <w:tcW w:w="1570" w:type="pct"/>
            <w:hideMark/>
          </w:tcPr>
          <w:p w14:paraId="111816A4"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Harapan mengenai perilaku yang dianggap benar, bertanggung jawab, atau patut</w:t>
            </w:r>
          </w:p>
        </w:tc>
        <w:tc>
          <w:tcPr>
            <w:tcW w:w="1018" w:type="pct"/>
            <w:hideMark/>
          </w:tcPr>
          <w:p w14:paraId="64294E6B"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Wawancara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dokumen</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budaya</w:t>
            </w:r>
            <w:proofErr w:type="spellEnd"/>
          </w:p>
        </w:tc>
      </w:tr>
      <w:tr w:rsidR="00BE412A" w:rsidRPr="00BE412A" w14:paraId="1D5DF9EC" w14:textId="77777777" w:rsidTr="009E430E">
        <w:tc>
          <w:tcPr>
            <w:tcW w:w="1385" w:type="pct"/>
            <w:hideMark/>
          </w:tcPr>
          <w:p w14:paraId="160ACF34"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 xml:space="preserve">Informal </w:t>
            </w:r>
            <w:proofErr w:type="spellStart"/>
            <w:r w:rsidRPr="00BE412A">
              <w:rPr>
                <w:rFonts w:ascii="Times New Roman" w:hAnsi="Times New Roman" w:cs="Times New Roman"/>
                <w:i/>
                <w:iCs/>
                <w:sz w:val="16"/>
                <w:szCs w:val="16"/>
              </w:rPr>
              <w:t>institutionalisation</w:t>
            </w:r>
            <w:proofErr w:type="spellEnd"/>
          </w:p>
        </w:tc>
        <w:tc>
          <w:tcPr>
            <w:tcW w:w="1026" w:type="pct"/>
            <w:hideMark/>
          </w:tcPr>
          <w:p w14:paraId="37BBAE38"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Kapan nilai berfungsi sebagai norma yang mengatur perilaku?</w:t>
            </w:r>
          </w:p>
        </w:tc>
        <w:tc>
          <w:tcPr>
            <w:tcW w:w="1570" w:type="pct"/>
            <w:hideMark/>
          </w:tcPr>
          <w:p w14:paraId="36177A41"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Ekspektasi perilaku, kewajiban sosial, pengendalian diri, pengawasan sosial, tekanan kepatuhan, penilaian terhadap penyimpangan</w:t>
            </w:r>
          </w:p>
        </w:tc>
        <w:tc>
          <w:tcPr>
            <w:tcW w:w="1018" w:type="pct"/>
            <w:hideMark/>
          </w:tcPr>
          <w:p w14:paraId="3DB9D645"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Wawancara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observasi</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dokumentasi</w:t>
            </w:r>
            <w:proofErr w:type="spellEnd"/>
          </w:p>
        </w:tc>
      </w:tr>
      <w:tr w:rsidR="00BE412A" w:rsidRPr="00BE412A" w14:paraId="652CED2E" w14:textId="77777777" w:rsidTr="009E430E">
        <w:tc>
          <w:tcPr>
            <w:tcW w:w="1385" w:type="pct"/>
            <w:hideMark/>
          </w:tcPr>
          <w:p w14:paraId="394998F1"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Governance practice</w:t>
            </w:r>
          </w:p>
        </w:tc>
        <w:tc>
          <w:tcPr>
            <w:tcW w:w="1026" w:type="pct"/>
            <w:hideMark/>
          </w:tcPr>
          <w:p w14:paraId="577D36F5"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Bagaimana norma tercermin dalam praktik?</w:t>
            </w:r>
          </w:p>
        </w:tc>
        <w:tc>
          <w:tcPr>
            <w:tcW w:w="1570" w:type="pct"/>
            <w:hideMark/>
          </w:tcPr>
          <w:p w14:paraId="79B233EF"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Akuntabilitas, kerja sama, musyawarah, stewardship, pengendalian kepentingan pribadi, tanggung jawab lingkungan</w:t>
            </w:r>
          </w:p>
        </w:tc>
        <w:tc>
          <w:tcPr>
            <w:tcW w:w="1018" w:type="pct"/>
            <w:hideMark/>
          </w:tcPr>
          <w:p w14:paraId="447F5D59"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Wawancara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observasi</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dokumen</w:t>
            </w:r>
            <w:proofErr w:type="spellEnd"/>
          </w:p>
        </w:tc>
      </w:tr>
      <w:tr w:rsidR="00BE412A" w:rsidRPr="00BE412A" w14:paraId="56F921B5" w14:textId="77777777" w:rsidTr="009E430E">
        <w:tc>
          <w:tcPr>
            <w:tcW w:w="1385" w:type="pct"/>
            <w:hideMark/>
          </w:tcPr>
          <w:p w14:paraId="0793F35A"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Transmission disruption</w:t>
            </w:r>
          </w:p>
        </w:tc>
        <w:tc>
          <w:tcPr>
            <w:tcW w:w="1026" w:type="pct"/>
            <w:hideMark/>
          </w:tcPr>
          <w:p w14:paraId="51EB7DEA"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Apa yang menghambat reproduksi norma?</w:t>
            </w:r>
          </w:p>
        </w:tc>
        <w:tc>
          <w:tcPr>
            <w:tcW w:w="1570" w:type="pct"/>
            <w:hideMark/>
          </w:tcPr>
          <w:p w14:paraId="524A5904"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Regenerasi tokoh adat, menurunnya minat generasi muda, perubahan pola interaksi, persaingan media digital</w:t>
            </w:r>
          </w:p>
        </w:tc>
        <w:tc>
          <w:tcPr>
            <w:tcW w:w="1018" w:type="pct"/>
            <w:hideMark/>
          </w:tcPr>
          <w:p w14:paraId="0945D496"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Wawancara</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observasi</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dokumen</w:t>
            </w:r>
            <w:proofErr w:type="spellEnd"/>
          </w:p>
        </w:tc>
      </w:tr>
      <w:tr w:rsidR="00BE412A" w:rsidRPr="00BE412A" w14:paraId="72A2A0E6" w14:textId="77777777" w:rsidTr="009E430E">
        <w:tc>
          <w:tcPr>
            <w:tcW w:w="1385" w:type="pct"/>
            <w:hideMark/>
          </w:tcPr>
          <w:p w14:paraId="2E8F04D5" w14:textId="77777777" w:rsidR="00BE412A" w:rsidRPr="00BE412A" w:rsidRDefault="00BE412A" w:rsidP="009E430E">
            <w:pPr>
              <w:rPr>
                <w:rFonts w:ascii="Times New Roman" w:hAnsi="Times New Roman" w:cs="Times New Roman"/>
                <w:i/>
                <w:iCs/>
                <w:sz w:val="16"/>
                <w:szCs w:val="16"/>
              </w:rPr>
            </w:pPr>
            <w:r w:rsidRPr="00BE412A">
              <w:rPr>
                <w:rFonts w:ascii="Times New Roman" w:hAnsi="Times New Roman" w:cs="Times New Roman"/>
                <w:i/>
                <w:iCs/>
                <w:sz w:val="16"/>
                <w:szCs w:val="16"/>
              </w:rPr>
              <w:t>Governance implication</w:t>
            </w:r>
          </w:p>
        </w:tc>
        <w:tc>
          <w:tcPr>
            <w:tcW w:w="1026" w:type="pct"/>
            <w:hideMark/>
          </w:tcPr>
          <w:p w14:paraId="3FB91E52"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Apa arti keberadaan atau melemahnya norma bagi tata kelola sumber daya strategis?</w:t>
            </w:r>
          </w:p>
        </w:tc>
        <w:tc>
          <w:tcPr>
            <w:tcW w:w="1570" w:type="pct"/>
            <w:hideMark/>
          </w:tcPr>
          <w:p w14:paraId="3BCCF972" w14:textId="77777777" w:rsidR="00BE412A" w:rsidRPr="00BE412A" w:rsidRDefault="00BE412A" w:rsidP="009E430E">
            <w:pPr>
              <w:rPr>
                <w:rFonts w:ascii="Times New Roman" w:hAnsi="Times New Roman" w:cs="Times New Roman"/>
                <w:sz w:val="16"/>
                <w:szCs w:val="16"/>
                <w:lang w:val="sv-SE"/>
              </w:rPr>
            </w:pPr>
            <w:r w:rsidRPr="00BE412A">
              <w:rPr>
                <w:rFonts w:ascii="Times New Roman" w:hAnsi="Times New Roman" w:cs="Times New Roman"/>
                <w:sz w:val="16"/>
                <w:szCs w:val="16"/>
                <w:lang w:val="sv-SE"/>
              </w:rPr>
              <w:t>Penguatan/pelemahan koordinasi, stewardship, integritas, orientasi kepentingan bersama</w:t>
            </w:r>
          </w:p>
        </w:tc>
        <w:tc>
          <w:tcPr>
            <w:tcW w:w="1018" w:type="pct"/>
            <w:hideMark/>
          </w:tcPr>
          <w:p w14:paraId="418A5318" w14:textId="77777777" w:rsidR="00BE412A" w:rsidRPr="00BE412A" w:rsidRDefault="00BE412A" w:rsidP="009E430E">
            <w:pPr>
              <w:rPr>
                <w:rFonts w:ascii="Times New Roman" w:hAnsi="Times New Roman" w:cs="Times New Roman"/>
                <w:sz w:val="16"/>
                <w:szCs w:val="16"/>
              </w:rPr>
            </w:pPr>
            <w:proofErr w:type="spellStart"/>
            <w:r w:rsidRPr="00BE412A">
              <w:rPr>
                <w:rFonts w:ascii="Times New Roman" w:hAnsi="Times New Roman" w:cs="Times New Roman"/>
                <w:sz w:val="16"/>
                <w:szCs w:val="16"/>
              </w:rPr>
              <w:t>Sintesis</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seluruh</w:t>
            </w:r>
            <w:proofErr w:type="spellEnd"/>
            <w:r w:rsidRPr="00BE412A">
              <w:rPr>
                <w:rFonts w:ascii="Times New Roman" w:hAnsi="Times New Roman" w:cs="Times New Roman"/>
                <w:sz w:val="16"/>
                <w:szCs w:val="16"/>
              </w:rPr>
              <w:t xml:space="preserve"> </w:t>
            </w:r>
            <w:proofErr w:type="spellStart"/>
            <w:r w:rsidRPr="00BE412A">
              <w:rPr>
                <w:rFonts w:ascii="Times New Roman" w:hAnsi="Times New Roman" w:cs="Times New Roman"/>
                <w:sz w:val="16"/>
                <w:szCs w:val="16"/>
              </w:rPr>
              <w:t>sumber</w:t>
            </w:r>
            <w:proofErr w:type="spellEnd"/>
          </w:p>
        </w:tc>
      </w:tr>
    </w:tbl>
    <w:p w14:paraId="640387F2" w14:textId="77777777" w:rsidR="00BE412A" w:rsidRPr="008E0AE3" w:rsidRDefault="00BE412A" w:rsidP="00BE412A">
      <w:pPr>
        <w:spacing w:after="0" w:line="240" w:lineRule="auto"/>
        <w:rPr>
          <w:rFonts w:ascii="Times New Roman" w:hAnsi="Times New Roman" w:cs="Times New Roman"/>
          <w:color w:val="00B050"/>
        </w:rPr>
      </w:pPr>
    </w:p>
    <w:p w14:paraId="76833A6F" w14:textId="77777777" w:rsidR="00BE412A" w:rsidRDefault="00BE412A" w:rsidP="00BE412A">
      <w:pPr>
        <w:spacing w:after="0" w:line="240" w:lineRule="auto"/>
        <w:jc w:val="both"/>
        <w:rPr>
          <w:rFonts w:ascii="Times New Roman" w:hAnsi="Times New Roman" w:cs="Times New Roman"/>
        </w:rPr>
      </w:pPr>
      <w:r w:rsidRPr="008E0AE3">
        <w:rPr>
          <w:rFonts w:ascii="Times New Roman" w:hAnsi="Times New Roman" w:cs="Times New Roman"/>
        </w:rPr>
        <w:t xml:space="preserve">Validitas dan keabsahan data </w:t>
      </w:r>
      <w:proofErr w:type="spellStart"/>
      <w:r w:rsidRPr="008E0AE3">
        <w:rPr>
          <w:rFonts w:ascii="Times New Roman" w:hAnsi="Times New Roman" w:cs="Times New Roman"/>
        </w:rPr>
        <w:t>diujia</w:t>
      </w:r>
      <w:proofErr w:type="spellEnd"/>
      <w:r w:rsidRPr="008E0AE3">
        <w:rPr>
          <w:rFonts w:ascii="Times New Roman" w:hAnsi="Times New Roman" w:cs="Times New Roman"/>
        </w:rPr>
        <w:t xml:space="preserve"> melalui triangulasi terhadap berbagai jenis bukti. Kami menyandingkan narasi aktor, dokumen kelembagaan, dan praktik yang diamati langsung. Misalnya, jika wawancara menunjukkan bahwa nilai amanah menuntut tanggung jawab dalam mengelola sumber daya, kami akan mengecek apakah prinsip itu juga tertulis dalam dokumen dan tercermin dalam tindakan nyata. Lebih jauh, kami tidak menganggap perbedaan </w:t>
      </w:r>
      <w:proofErr w:type="spellStart"/>
      <w:r w:rsidRPr="008E0AE3">
        <w:rPr>
          <w:rFonts w:ascii="Times New Roman" w:hAnsi="Times New Roman" w:cs="Times New Roman"/>
        </w:rPr>
        <w:t>antarsumber</w:t>
      </w:r>
      <w:proofErr w:type="spellEnd"/>
      <w:r w:rsidRPr="008E0AE3">
        <w:rPr>
          <w:rFonts w:ascii="Times New Roman" w:hAnsi="Times New Roman" w:cs="Times New Roman"/>
        </w:rPr>
        <w:t xml:space="preserve"> sebagai kesalahan yang harus dihilangkan, melainkan sebagai data yang berharga. Jika sebuah institusi mengklaim nilai tertentu masih kuat, tetapi data lain menunjukkan proses pewarisannya ke generasi muda melemah, perbedaan ini justru mengungkap jarak antara komitmen terhadap nilai dan realitas institusional. Pendekatan ini sejalan dengan temuan awal bahwa nilai-nilai budaya memang masih ada, tetapi proses mewariskannya sedang terancam oleh minimnya regenerasi tokoh adat, menurunnya minat generasi muda, dan persaingan dengan media digital.</w:t>
      </w:r>
    </w:p>
    <w:p w14:paraId="791F8DA3" w14:textId="4A158A12" w:rsidR="00FB4D95" w:rsidRDefault="00000000" w:rsidP="00BE412A">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A89AB70" w14:textId="363A101A" w:rsidR="00FB4D95" w:rsidRDefault="00084FED">
      <w:pPr>
        <w:spacing w:after="0" w:line="240" w:lineRule="auto"/>
        <w:jc w:val="both"/>
        <w:rPr>
          <w:rFonts w:ascii="Times New Roman" w:eastAsia="Times New Roman" w:hAnsi="Times New Roman" w:cs="Times New Roman"/>
          <w:color w:val="974705"/>
        </w:rPr>
      </w:pPr>
      <w:r>
        <w:rPr>
          <w:rFonts w:ascii="Times New Roman" w:eastAsia="Times New Roman" w:hAnsi="Times New Roman" w:cs="Times New Roman"/>
          <w:b/>
          <w:color w:val="974705"/>
        </w:rPr>
        <w:t>Hasil dan Pembahasan</w:t>
      </w:r>
    </w:p>
    <w:p w14:paraId="77159726" w14:textId="77777777" w:rsidR="00BE412A" w:rsidRPr="008E0AE3" w:rsidRDefault="00BE412A" w:rsidP="00BE412A">
      <w:pPr>
        <w:spacing w:after="0" w:line="240" w:lineRule="auto"/>
        <w:ind w:firstLine="720"/>
        <w:jc w:val="both"/>
        <w:rPr>
          <w:rFonts w:ascii="Times New Roman" w:hAnsi="Times New Roman" w:cs="Times New Roman"/>
        </w:rPr>
      </w:pPr>
      <w:r w:rsidRPr="008E0AE3">
        <w:rPr>
          <w:rFonts w:ascii="Times New Roman" w:hAnsi="Times New Roman" w:cs="Times New Roman"/>
        </w:rPr>
        <w:t xml:space="preserve">Temuan dari data lapangan dan dokumentasi di Lembaga Adat Melayu Riau (LAMR), Istana Siak Sri Indrapura, dan Museum Sang Nila Utama menunjukkan bahwa nilai kejuangan berbasis budaya Melayu Riau tidak berhenti sebagai warisan simbolik. Nilai tersebut tersedia dalam bentuk ajaran, keteladanan sejarah, praktik pembinaan, dan media pendidikan; selanjutnya, nilai itu diterjemahkan ke dalam harapan mengenai perilaku yang bertanggung jawab terhadap masyarakat dan lingkungan. Namun, temuan juga menunjukkan bahwa proses tersebut tidak berlangsung tanpa hambatan. Regenerasi tokoh adat, menurunnya minat generasi muda terhadap budaya tradisional, perubahan pola interaksi, dan persaingan media digital membatasi kemampuan institusi budaya untuk meneruskan nilai dari </w:t>
      </w:r>
      <w:r w:rsidRPr="008E0AE3">
        <w:rPr>
          <w:rFonts w:ascii="Times New Roman" w:hAnsi="Times New Roman" w:cs="Times New Roman"/>
        </w:rPr>
        <w:lastRenderedPageBreak/>
        <w:t>pengetahuan menjadi perilaku. Dengan demikian, alih-alih hubungan linear sederhana antara nilai budaya dan ketahanan energi, temuan artikel ini menunjukkan suatu rangkaian yang lebih spesifik di mana institusi budaya menyediakan repertoar nilai; mekanisme transmisi menghubungkan repertoar tersebut dengan generasi berikutnya; internalisasi mengubah nilai menjadi ekspektasi perilaku; dan ekspektasi tersebut menyediakan dasar normatif bagi praktik tata kelola. Pada saat yang sama, gangguan pada transmisi dapat memutus rantai tersebut sebelum nilai mencapai tahap perilaku. Subbagian berikutnya akan mengurai temuan-temuan ini dengan lebih rinci.</w:t>
      </w:r>
    </w:p>
    <w:p w14:paraId="125481FF" w14:textId="77777777" w:rsidR="00BE412A" w:rsidRPr="008E0AE3" w:rsidRDefault="00BE412A" w:rsidP="00BE412A">
      <w:pPr>
        <w:spacing w:before="240" w:after="0" w:line="240" w:lineRule="auto"/>
        <w:jc w:val="center"/>
        <w:rPr>
          <w:rFonts w:ascii="Times New Roman" w:hAnsi="Times New Roman" w:cs="Times New Roman"/>
          <w:b/>
          <w:bCs/>
        </w:rPr>
      </w:pPr>
      <w:r w:rsidRPr="008E0AE3">
        <w:rPr>
          <w:rFonts w:ascii="Times New Roman" w:hAnsi="Times New Roman" w:cs="Times New Roman"/>
          <w:b/>
          <w:bCs/>
        </w:rPr>
        <w:t>Tabel 3. Sintesis Temuan Empiris Berdasarkan Mekanisme</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100"/>
        <w:gridCol w:w="969"/>
        <w:gridCol w:w="844"/>
        <w:gridCol w:w="979"/>
      </w:tblGrid>
      <w:tr w:rsidR="00BE412A" w:rsidRPr="003B78DF" w14:paraId="33D38C9C" w14:textId="77777777" w:rsidTr="009E430E">
        <w:tc>
          <w:tcPr>
            <w:tcW w:w="1418" w:type="pct"/>
            <w:vAlign w:val="center"/>
            <w:hideMark/>
          </w:tcPr>
          <w:p w14:paraId="4F0BCA69" w14:textId="77777777" w:rsidR="00BE412A" w:rsidRPr="003B78DF" w:rsidRDefault="00BE412A" w:rsidP="009E430E">
            <w:pPr>
              <w:jc w:val="center"/>
              <w:rPr>
                <w:rFonts w:ascii="Times New Roman" w:hAnsi="Times New Roman" w:cs="Times New Roman"/>
                <w:b/>
                <w:bCs/>
                <w:sz w:val="16"/>
                <w:szCs w:val="16"/>
              </w:rPr>
            </w:pPr>
            <w:proofErr w:type="spellStart"/>
            <w:r w:rsidRPr="003B78DF">
              <w:rPr>
                <w:rFonts w:ascii="Times New Roman" w:hAnsi="Times New Roman" w:cs="Times New Roman"/>
                <w:b/>
                <w:bCs/>
                <w:sz w:val="16"/>
                <w:szCs w:val="16"/>
              </w:rPr>
              <w:t>Tahap</w:t>
            </w:r>
            <w:proofErr w:type="spellEnd"/>
            <w:r w:rsidRPr="003B78DF">
              <w:rPr>
                <w:rFonts w:ascii="Times New Roman" w:hAnsi="Times New Roman" w:cs="Times New Roman"/>
                <w:b/>
                <w:bCs/>
                <w:sz w:val="16"/>
                <w:szCs w:val="16"/>
              </w:rPr>
              <w:t xml:space="preserve"> Proses</w:t>
            </w:r>
          </w:p>
        </w:tc>
        <w:tc>
          <w:tcPr>
            <w:tcW w:w="1244" w:type="pct"/>
            <w:vAlign w:val="center"/>
            <w:hideMark/>
          </w:tcPr>
          <w:p w14:paraId="1260EF85" w14:textId="77777777" w:rsidR="00BE412A" w:rsidRPr="003B78DF" w:rsidRDefault="00BE412A" w:rsidP="009E430E">
            <w:pPr>
              <w:jc w:val="center"/>
              <w:rPr>
                <w:rFonts w:ascii="Times New Roman" w:hAnsi="Times New Roman" w:cs="Times New Roman"/>
                <w:b/>
                <w:bCs/>
                <w:sz w:val="16"/>
                <w:szCs w:val="16"/>
              </w:rPr>
            </w:pPr>
            <w:proofErr w:type="spellStart"/>
            <w:r w:rsidRPr="003B78DF">
              <w:rPr>
                <w:rFonts w:ascii="Times New Roman" w:hAnsi="Times New Roman" w:cs="Times New Roman"/>
                <w:b/>
                <w:bCs/>
                <w:sz w:val="16"/>
                <w:szCs w:val="16"/>
              </w:rPr>
              <w:t>Temuan</w:t>
            </w:r>
            <w:proofErr w:type="spellEnd"/>
            <w:r w:rsidRPr="003B78DF">
              <w:rPr>
                <w:rFonts w:ascii="Times New Roman" w:hAnsi="Times New Roman" w:cs="Times New Roman"/>
                <w:b/>
                <w:bCs/>
                <w:sz w:val="16"/>
                <w:szCs w:val="16"/>
              </w:rPr>
              <w:t xml:space="preserve"> </w:t>
            </w:r>
            <w:proofErr w:type="spellStart"/>
            <w:r w:rsidRPr="003B78DF">
              <w:rPr>
                <w:rFonts w:ascii="Times New Roman" w:hAnsi="Times New Roman" w:cs="Times New Roman"/>
                <w:b/>
                <w:bCs/>
                <w:sz w:val="16"/>
                <w:szCs w:val="16"/>
              </w:rPr>
              <w:t>Empiris</w:t>
            </w:r>
            <w:proofErr w:type="spellEnd"/>
            <w:r w:rsidRPr="003B78DF">
              <w:rPr>
                <w:rFonts w:ascii="Times New Roman" w:hAnsi="Times New Roman" w:cs="Times New Roman"/>
                <w:b/>
                <w:bCs/>
                <w:sz w:val="16"/>
                <w:szCs w:val="16"/>
              </w:rPr>
              <w:t xml:space="preserve"> Utama</w:t>
            </w:r>
          </w:p>
        </w:tc>
        <w:tc>
          <w:tcPr>
            <w:tcW w:w="1080" w:type="pct"/>
            <w:vAlign w:val="center"/>
            <w:hideMark/>
          </w:tcPr>
          <w:p w14:paraId="2BD17ED6" w14:textId="77777777" w:rsidR="00BE412A" w:rsidRPr="003B78DF" w:rsidRDefault="00BE412A" w:rsidP="009E430E">
            <w:pPr>
              <w:jc w:val="center"/>
              <w:rPr>
                <w:rFonts w:ascii="Times New Roman" w:hAnsi="Times New Roman" w:cs="Times New Roman"/>
                <w:b/>
                <w:bCs/>
                <w:sz w:val="16"/>
                <w:szCs w:val="16"/>
              </w:rPr>
            </w:pPr>
            <w:r w:rsidRPr="003B78DF">
              <w:rPr>
                <w:rFonts w:ascii="Times New Roman" w:hAnsi="Times New Roman" w:cs="Times New Roman"/>
                <w:b/>
                <w:bCs/>
                <w:sz w:val="16"/>
                <w:szCs w:val="16"/>
              </w:rPr>
              <w:t xml:space="preserve">Bukti </w:t>
            </w:r>
            <w:proofErr w:type="spellStart"/>
            <w:r w:rsidRPr="003B78DF">
              <w:rPr>
                <w:rFonts w:ascii="Times New Roman" w:hAnsi="Times New Roman" w:cs="Times New Roman"/>
                <w:b/>
                <w:bCs/>
                <w:sz w:val="16"/>
                <w:szCs w:val="16"/>
              </w:rPr>
              <w:t>dalam</w:t>
            </w:r>
            <w:proofErr w:type="spellEnd"/>
            <w:r w:rsidRPr="003B78DF">
              <w:rPr>
                <w:rFonts w:ascii="Times New Roman" w:hAnsi="Times New Roman" w:cs="Times New Roman"/>
                <w:b/>
                <w:bCs/>
                <w:sz w:val="16"/>
                <w:szCs w:val="16"/>
              </w:rPr>
              <w:t xml:space="preserve"> </w:t>
            </w:r>
            <w:proofErr w:type="spellStart"/>
            <w:r w:rsidRPr="003B78DF">
              <w:rPr>
                <w:rFonts w:ascii="Times New Roman" w:hAnsi="Times New Roman" w:cs="Times New Roman"/>
                <w:b/>
                <w:bCs/>
                <w:sz w:val="16"/>
                <w:szCs w:val="16"/>
              </w:rPr>
              <w:t>Korpus</w:t>
            </w:r>
            <w:proofErr w:type="spellEnd"/>
          </w:p>
        </w:tc>
        <w:tc>
          <w:tcPr>
            <w:tcW w:w="1258" w:type="pct"/>
            <w:vAlign w:val="center"/>
            <w:hideMark/>
          </w:tcPr>
          <w:p w14:paraId="1EFB9017" w14:textId="77777777" w:rsidR="00BE412A" w:rsidRPr="003B78DF" w:rsidRDefault="00BE412A" w:rsidP="009E430E">
            <w:pPr>
              <w:jc w:val="center"/>
              <w:rPr>
                <w:rFonts w:ascii="Times New Roman" w:hAnsi="Times New Roman" w:cs="Times New Roman"/>
                <w:b/>
                <w:bCs/>
                <w:sz w:val="16"/>
                <w:szCs w:val="16"/>
              </w:rPr>
            </w:pPr>
            <w:proofErr w:type="spellStart"/>
            <w:r w:rsidRPr="003B78DF">
              <w:rPr>
                <w:rFonts w:ascii="Times New Roman" w:hAnsi="Times New Roman" w:cs="Times New Roman"/>
                <w:b/>
                <w:bCs/>
                <w:sz w:val="16"/>
                <w:szCs w:val="16"/>
              </w:rPr>
              <w:t>Implikasi</w:t>
            </w:r>
            <w:proofErr w:type="spellEnd"/>
            <w:r w:rsidRPr="003B78DF">
              <w:rPr>
                <w:rFonts w:ascii="Times New Roman" w:hAnsi="Times New Roman" w:cs="Times New Roman"/>
                <w:b/>
                <w:bCs/>
                <w:sz w:val="16"/>
                <w:szCs w:val="16"/>
              </w:rPr>
              <w:t xml:space="preserve"> </w:t>
            </w:r>
            <w:proofErr w:type="spellStart"/>
            <w:r w:rsidRPr="003B78DF">
              <w:rPr>
                <w:rFonts w:ascii="Times New Roman" w:hAnsi="Times New Roman" w:cs="Times New Roman"/>
                <w:b/>
                <w:bCs/>
                <w:sz w:val="16"/>
                <w:szCs w:val="16"/>
              </w:rPr>
              <w:t>Empiris</w:t>
            </w:r>
            <w:proofErr w:type="spellEnd"/>
          </w:p>
        </w:tc>
      </w:tr>
      <w:tr w:rsidR="00BE412A" w:rsidRPr="003B78DF" w14:paraId="47DDEAC1" w14:textId="77777777" w:rsidTr="009E430E">
        <w:tc>
          <w:tcPr>
            <w:tcW w:w="1418" w:type="pct"/>
            <w:hideMark/>
          </w:tcPr>
          <w:p w14:paraId="55C616BC" w14:textId="77777777" w:rsidR="00BE412A" w:rsidRPr="003B78DF" w:rsidRDefault="00BE412A" w:rsidP="009E430E">
            <w:pPr>
              <w:rPr>
                <w:rFonts w:ascii="Times New Roman" w:hAnsi="Times New Roman" w:cs="Times New Roman"/>
                <w:sz w:val="16"/>
                <w:szCs w:val="16"/>
              </w:rPr>
            </w:pPr>
            <w:proofErr w:type="spellStart"/>
            <w:r w:rsidRPr="003B78DF">
              <w:rPr>
                <w:rFonts w:ascii="Times New Roman" w:hAnsi="Times New Roman" w:cs="Times New Roman"/>
                <w:sz w:val="16"/>
                <w:szCs w:val="16"/>
              </w:rPr>
              <w:t>Repertoar</w:t>
            </w:r>
            <w:proofErr w:type="spellEnd"/>
            <w:r w:rsidRPr="003B78DF">
              <w:rPr>
                <w:rFonts w:ascii="Times New Roman" w:hAnsi="Times New Roman" w:cs="Times New Roman"/>
                <w:sz w:val="16"/>
                <w:szCs w:val="16"/>
              </w:rPr>
              <w:t xml:space="preserve"> </w:t>
            </w:r>
            <w:proofErr w:type="spellStart"/>
            <w:r w:rsidRPr="003B78DF">
              <w:rPr>
                <w:rFonts w:ascii="Times New Roman" w:hAnsi="Times New Roman" w:cs="Times New Roman"/>
                <w:sz w:val="16"/>
                <w:szCs w:val="16"/>
              </w:rPr>
              <w:t>nilai</w:t>
            </w:r>
            <w:proofErr w:type="spellEnd"/>
          </w:p>
        </w:tc>
        <w:tc>
          <w:tcPr>
            <w:tcW w:w="1244" w:type="pct"/>
            <w:hideMark/>
          </w:tcPr>
          <w:p w14:paraId="2B6310E0"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Nilai amanah, marwah, integritas, musyawarah, gotong royong, tanggung jawab, kepedulian lingkungan, nasionalisme, pengorbanan, dan kepentingan bersama tersedia dalam institusi budaya</w:t>
            </w:r>
          </w:p>
        </w:tc>
        <w:tc>
          <w:tcPr>
            <w:tcW w:w="1080" w:type="pct"/>
            <w:hideMark/>
          </w:tcPr>
          <w:p w14:paraId="128B2E68" w14:textId="77777777" w:rsidR="00BE412A" w:rsidRPr="003B78DF" w:rsidRDefault="00BE412A" w:rsidP="009E430E">
            <w:pPr>
              <w:rPr>
                <w:rFonts w:ascii="Times New Roman" w:hAnsi="Times New Roman" w:cs="Times New Roman"/>
                <w:sz w:val="16"/>
                <w:szCs w:val="16"/>
              </w:rPr>
            </w:pPr>
            <w:r w:rsidRPr="003B78DF">
              <w:rPr>
                <w:rFonts w:ascii="Times New Roman" w:hAnsi="Times New Roman" w:cs="Times New Roman"/>
                <w:sz w:val="16"/>
                <w:szCs w:val="16"/>
              </w:rPr>
              <w:t xml:space="preserve">LAMR, </w:t>
            </w:r>
            <w:proofErr w:type="spellStart"/>
            <w:r w:rsidRPr="003B78DF">
              <w:rPr>
                <w:rFonts w:ascii="Times New Roman" w:hAnsi="Times New Roman" w:cs="Times New Roman"/>
                <w:sz w:val="16"/>
                <w:szCs w:val="16"/>
              </w:rPr>
              <w:t>sejarah</w:t>
            </w:r>
            <w:proofErr w:type="spellEnd"/>
            <w:r w:rsidRPr="003B78DF">
              <w:rPr>
                <w:rFonts w:ascii="Times New Roman" w:hAnsi="Times New Roman" w:cs="Times New Roman"/>
                <w:sz w:val="16"/>
                <w:szCs w:val="16"/>
              </w:rPr>
              <w:t xml:space="preserve"> Siak, Museum</w:t>
            </w:r>
          </w:p>
        </w:tc>
        <w:tc>
          <w:tcPr>
            <w:tcW w:w="1258" w:type="pct"/>
            <w:hideMark/>
          </w:tcPr>
          <w:p w14:paraId="007FF4C5"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Budaya menyediakan sumber normatif yang dapat digunakan untuk mengarahkan perilaku</w:t>
            </w:r>
          </w:p>
        </w:tc>
      </w:tr>
      <w:tr w:rsidR="00BE412A" w:rsidRPr="003B78DF" w14:paraId="16456F18" w14:textId="77777777" w:rsidTr="009E430E">
        <w:tc>
          <w:tcPr>
            <w:tcW w:w="1418" w:type="pct"/>
            <w:hideMark/>
          </w:tcPr>
          <w:p w14:paraId="2783C901" w14:textId="77777777" w:rsidR="00BE412A" w:rsidRPr="003B78DF" w:rsidRDefault="00BE412A" w:rsidP="009E430E">
            <w:pPr>
              <w:rPr>
                <w:rFonts w:ascii="Times New Roman" w:hAnsi="Times New Roman" w:cs="Times New Roman"/>
                <w:sz w:val="16"/>
                <w:szCs w:val="16"/>
              </w:rPr>
            </w:pPr>
            <w:proofErr w:type="spellStart"/>
            <w:r w:rsidRPr="003B78DF">
              <w:rPr>
                <w:rFonts w:ascii="Times New Roman" w:hAnsi="Times New Roman" w:cs="Times New Roman"/>
                <w:sz w:val="16"/>
                <w:szCs w:val="16"/>
              </w:rPr>
              <w:t>Transmisi</w:t>
            </w:r>
            <w:proofErr w:type="spellEnd"/>
          </w:p>
        </w:tc>
        <w:tc>
          <w:tcPr>
            <w:tcW w:w="1244" w:type="pct"/>
            <w:hideMark/>
          </w:tcPr>
          <w:p w14:paraId="05C2F6F8"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Nilai diwariskan melalui pembinaan adat, pendidikan, pelestarian tradisi, keteladanan tokoh, artefak, sejarah, dan dokumentasi</w:t>
            </w:r>
          </w:p>
        </w:tc>
        <w:tc>
          <w:tcPr>
            <w:tcW w:w="1080" w:type="pct"/>
            <w:hideMark/>
          </w:tcPr>
          <w:p w14:paraId="23894623" w14:textId="77777777" w:rsidR="00BE412A" w:rsidRPr="003B78DF" w:rsidRDefault="00BE412A" w:rsidP="009E430E">
            <w:pPr>
              <w:rPr>
                <w:rFonts w:ascii="Times New Roman" w:hAnsi="Times New Roman" w:cs="Times New Roman"/>
                <w:sz w:val="16"/>
                <w:szCs w:val="16"/>
              </w:rPr>
            </w:pPr>
            <w:r w:rsidRPr="003B78DF">
              <w:rPr>
                <w:rFonts w:ascii="Times New Roman" w:hAnsi="Times New Roman" w:cs="Times New Roman"/>
                <w:sz w:val="16"/>
                <w:szCs w:val="16"/>
              </w:rPr>
              <w:t>LAMR, Istana Siak, Museum</w:t>
            </w:r>
          </w:p>
        </w:tc>
        <w:tc>
          <w:tcPr>
            <w:tcW w:w="1258" w:type="pct"/>
            <w:hideMark/>
          </w:tcPr>
          <w:p w14:paraId="64546F79"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Nilai memiliki saluran reproduksi kelembagaan, bukan hanya pewarisan informal dalam keluarga</w:t>
            </w:r>
          </w:p>
        </w:tc>
      </w:tr>
      <w:tr w:rsidR="00BE412A" w:rsidRPr="003B78DF" w14:paraId="21F3E892" w14:textId="77777777" w:rsidTr="009E430E">
        <w:tc>
          <w:tcPr>
            <w:tcW w:w="1418" w:type="pct"/>
            <w:hideMark/>
          </w:tcPr>
          <w:p w14:paraId="00C3A20C" w14:textId="77777777" w:rsidR="00BE412A" w:rsidRPr="003B78DF" w:rsidRDefault="00BE412A" w:rsidP="009E430E">
            <w:pPr>
              <w:rPr>
                <w:rFonts w:ascii="Times New Roman" w:hAnsi="Times New Roman" w:cs="Times New Roman"/>
                <w:sz w:val="16"/>
                <w:szCs w:val="16"/>
              </w:rPr>
            </w:pPr>
            <w:proofErr w:type="spellStart"/>
            <w:r w:rsidRPr="003B78DF">
              <w:rPr>
                <w:rFonts w:ascii="Times New Roman" w:hAnsi="Times New Roman" w:cs="Times New Roman"/>
                <w:sz w:val="16"/>
                <w:szCs w:val="16"/>
              </w:rPr>
              <w:t>Institusionalisasi</w:t>
            </w:r>
            <w:proofErr w:type="spellEnd"/>
            <w:r w:rsidRPr="003B78DF">
              <w:rPr>
                <w:rFonts w:ascii="Times New Roman" w:hAnsi="Times New Roman" w:cs="Times New Roman"/>
                <w:sz w:val="16"/>
                <w:szCs w:val="16"/>
              </w:rPr>
              <w:t xml:space="preserve"> norma</w:t>
            </w:r>
          </w:p>
        </w:tc>
        <w:tc>
          <w:tcPr>
            <w:tcW w:w="1244" w:type="pct"/>
            <w:hideMark/>
          </w:tcPr>
          <w:p w14:paraId="6C2C4DEB"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 xml:space="preserve">Nilai dihubungkan dengan kewajiban moral, tanggung jawab sosial, musyawarah, </w:t>
            </w:r>
            <w:r w:rsidRPr="003B78DF">
              <w:rPr>
                <w:rFonts w:ascii="Times New Roman" w:hAnsi="Times New Roman" w:cs="Times New Roman"/>
                <w:sz w:val="16"/>
                <w:szCs w:val="16"/>
                <w:lang w:val="sv-SE"/>
              </w:rPr>
              <w:t>kepentingan bersama, dan hubungan yang seimbang dengan alam</w:t>
            </w:r>
          </w:p>
        </w:tc>
        <w:tc>
          <w:tcPr>
            <w:tcW w:w="1080" w:type="pct"/>
            <w:hideMark/>
          </w:tcPr>
          <w:p w14:paraId="7AB62CFA"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Terutama LAMR; diperkuat sejarah Siak</w:t>
            </w:r>
          </w:p>
        </w:tc>
        <w:tc>
          <w:tcPr>
            <w:tcW w:w="1258" w:type="pct"/>
            <w:hideMark/>
          </w:tcPr>
          <w:p w14:paraId="39E85AE5"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Nilai mulai berfungsi sebagai ekspektasi mengenai perilaku yang patut</w:t>
            </w:r>
          </w:p>
        </w:tc>
      </w:tr>
      <w:tr w:rsidR="00BE412A" w:rsidRPr="003B78DF" w14:paraId="336B74BF" w14:textId="77777777" w:rsidTr="009E430E">
        <w:tc>
          <w:tcPr>
            <w:tcW w:w="1418" w:type="pct"/>
            <w:hideMark/>
          </w:tcPr>
          <w:p w14:paraId="252DF9AA" w14:textId="77777777" w:rsidR="00BE412A" w:rsidRPr="003B78DF" w:rsidRDefault="00BE412A" w:rsidP="009E430E">
            <w:pPr>
              <w:rPr>
                <w:rFonts w:ascii="Times New Roman" w:hAnsi="Times New Roman" w:cs="Times New Roman"/>
                <w:sz w:val="16"/>
                <w:szCs w:val="16"/>
              </w:rPr>
            </w:pPr>
            <w:proofErr w:type="spellStart"/>
            <w:r w:rsidRPr="003B78DF">
              <w:rPr>
                <w:rFonts w:ascii="Times New Roman" w:hAnsi="Times New Roman" w:cs="Times New Roman"/>
                <w:sz w:val="16"/>
                <w:szCs w:val="16"/>
              </w:rPr>
              <w:t>Praktik</w:t>
            </w:r>
            <w:proofErr w:type="spellEnd"/>
            <w:r w:rsidRPr="003B78DF">
              <w:rPr>
                <w:rFonts w:ascii="Times New Roman" w:hAnsi="Times New Roman" w:cs="Times New Roman"/>
                <w:sz w:val="16"/>
                <w:szCs w:val="16"/>
              </w:rPr>
              <w:t xml:space="preserve"> tata </w:t>
            </w:r>
            <w:proofErr w:type="spellStart"/>
            <w:r w:rsidRPr="003B78DF">
              <w:rPr>
                <w:rFonts w:ascii="Times New Roman" w:hAnsi="Times New Roman" w:cs="Times New Roman"/>
                <w:sz w:val="16"/>
                <w:szCs w:val="16"/>
              </w:rPr>
              <w:t>kelola</w:t>
            </w:r>
            <w:proofErr w:type="spellEnd"/>
          </w:p>
        </w:tc>
        <w:tc>
          <w:tcPr>
            <w:tcW w:w="1244" w:type="pct"/>
            <w:hideMark/>
          </w:tcPr>
          <w:p w14:paraId="6FCFB351"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Norma diterjemahkan ke dalam tanggung jawab, integritas, pengendalian kepentingan pribadi, kerja sama, dan stewardship sumber daya</w:t>
            </w:r>
          </w:p>
        </w:tc>
        <w:tc>
          <w:tcPr>
            <w:tcW w:w="1080" w:type="pct"/>
            <w:hideMark/>
          </w:tcPr>
          <w:p w14:paraId="0E1F0BFC"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LAMR, keteladanan Sultan Syarif Kasim II, sintesis laporan</w:t>
            </w:r>
          </w:p>
        </w:tc>
        <w:tc>
          <w:tcPr>
            <w:tcW w:w="1258" w:type="pct"/>
            <w:hideMark/>
          </w:tcPr>
          <w:p w14:paraId="581B8934"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Relevansi nilai terhadap governance terletak pada perilaku yang dihasilkannya, bukan pada keberadaan nilai itu sendiri</w:t>
            </w:r>
          </w:p>
        </w:tc>
      </w:tr>
      <w:tr w:rsidR="00BE412A" w:rsidRPr="003B78DF" w14:paraId="4444965F" w14:textId="77777777" w:rsidTr="009E430E">
        <w:tc>
          <w:tcPr>
            <w:tcW w:w="1418" w:type="pct"/>
            <w:hideMark/>
          </w:tcPr>
          <w:p w14:paraId="3C6A8998" w14:textId="77777777" w:rsidR="00BE412A" w:rsidRPr="003B78DF" w:rsidRDefault="00BE412A" w:rsidP="009E430E">
            <w:pPr>
              <w:rPr>
                <w:rFonts w:ascii="Times New Roman" w:hAnsi="Times New Roman" w:cs="Times New Roman"/>
                <w:sz w:val="16"/>
                <w:szCs w:val="16"/>
              </w:rPr>
            </w:pPr>
            <w:proofErr w:type="spellStart"/>
            <w:r w:rsidRPr="003B78DF">
              <w:rPr>
                <w:rFonts w:ascii="Times New Roman" w:hAnsi="Times New Roman" w:cs="Times New Roman"/>
                <w:sz w:val="16"/>
                <w:szCs w:val="16"/>
              </w:rPr>
              <w:t>Gangguan</w:t>
            </w:r>
            <w:proofErr w:type="spellEnd"/>
            <w:r w:rsidRPr="003B78DF">
              <w:rPr>
                <w:rFonts w:ascii="Times New Roman" w:hAnsi="Times New Roman" w:cs="Times New Roman"/>
                <w:sz w:val="16"/>
                <w:szCs w:val="16"/>
              </w:rPr>
              <w:t xml:space="preserve"> </w:t>
            </w:r>
            <w:proofErr w:type="spellStart"/>
            <w:r w:rsidRPr="003B78DF">
              <w:rPr>
                <w:rFonts w:ascii="Times New Roman" w:hAnsi="Times New Roman" w:cs="Times New Roman"/>
                <w:sz w:val="16"/>
                <w:szCs w:val="16"/>
              </w:rPr>
              <w:t>transmisi</w:t>
            </w:r>
            <w:proofErr w:type="spellEnd"/>
          </w:p>
        </w:tc>
        <w:tc>
          <w:tcPr>
            <w:tcW w:w="1244" w:type="pct"/>
            <w:hideMark/>
          </w:tcPr>
          <w:p w14:paraId="5E2D6DA0"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Regenerasi tokoh adat, minat generasi muda, globalisasi, perubahan gaya hidup, dan persaingan media digital melemahkan proses transmisi</w:t>
            </w:r>
          </w:p>
        </w:tc>
        <w:tc>
          <w:tcPr>
            <w:tcW w:w="1080" w:type="pct"/>
            <w:hideMark/>
          </w:tcPr>
          <w:p w14:paraId="0FD37210" w14:textId="77777777" w:rsidR="00BE412A" w:rsidRPr="003B78DF" w:rsidRDefault="00BE412A" w:rsidP="009E430E">
            <w:pPr>
              <w:rPr>
                <w:rFonts w:ascii="Times New Roman" w:hAnsi="Times New Roman" w:cs="Times New Roman"/>
                <w:sz w:val="16"/>
                <w:szCs w:val="16"/>
              </w:rPr>
            </w:pPr>
            <w:r w:rsidRPr="003B78DF">
              <w:rPr>
                <w:rFonts w:ascii="Times New Roman" w:hAnsi="Times New Roman" w:cs="Times New Roman"/>
                <w:sz w:val="16"/>
                <w:szCs w:val="16"/>
              </w:rPr>
              <w:t>LAMR dan Museum</w:t>
            </w:r>
          </w:p>
        </w:tc>
        <w:tc>
          <w:tcPr>
            <w:tcW w:w="1258" w:type="pct"/>
            <w:hideMark/>
          </w:tcPr>
          <w:p w14:paraId="3DCB889C"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Keberadaan norma tidak menjamin reproduksi lintas generasi</w:t>
            </w:r>
          </w:p>
        </w:tc>
      </w:tr>
      <w:tr w:rsidR="00BE412A" w:rsidRPr="003B78DF" w14:paraId="5F924570" w14:textId="77777777" w:rsidTr="009E430E">
        <w:tc>
          <w:tcPr>
            <w:tcW w:w="1418" w:type="pct"/>
            <w:hideMark/>
          </w:tcPr>
          <w:p w14:paraId="1649A237" w14:textId="77777777" w:rsidR="00BE412A" w:rsidRPr="003B78DF" w:rsidRDefault="00BE412A" w:rsidP="009E430E">
            <w:pPr>
              <w:rPr>
                <w:rFonts w:ascii="Times New Roman" w:hAnsi="Times New Roman" w:cs="Times New Roman"/>
                <w:sz w:val="16"/>
                <w:szCs w:val="16"/>
              </w:rPr>
            </w:pPr>
            <w:proofErr w:type="spellStart"/>
            <w:r w:rsidRPr="003B78DF">
              <w:rPr>
                <w:rFonts w:ascii="Times New Roman" w:hAnsi="Times New Roman" w:cs="Times New Roman"/>
                <w:sz w:val="16"/>
                <w:szCs w:val="16"/>
              </w:rPr>
              <w:t>Implikasi</w:t>
            </w:r>
            <w:proofErr w:type="spellEnd"/>
            <w:r w:rsidRPr="003B78DF">
              <w:rPr>
                <w:rFonts w:ascii="Times New Roman" w:hAnsi="Times New Roman" w:cs="Times New Roman"/>
                <w:sz w:val="16"/>
                <w:szCs w:val="16"/>
              </w:rPr>
              <w:t xml:space="preserve"> </w:t>
            </w:r>
            <w:proofErr w:type="spellStart"/>
            <w:r w:rsidRPr="003B78DF">
              <w:rPr>
                <w:rFonts w:ascii="Times New Roman" w:hAnsi="Times New Roman" w:cs="Times New Roman"/>
                <w:sz w:val="16"/>
                <w:szCs w:val="16"/>
              </w:rPr>
              <w:t>energi</w:t>
            </w:r>
            <w:proofErr w:type="spellEnd"/>
          </w:p>
        </w:tc>
        <w:tc>
          <w:tcPr>
            <w:tcW w:w="1244" w:type="pct"/>
            <w:hideMark/>
          </w:tcPr>
          <w:p w14:paraId="21E0DA72"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SDM pengelola energi membutuhkan kompetensi teknis sekaligus integritas, tanggung jawab, orientasi jangka panjang, dan kepentingan bersama</w:t>
            </w:r>
          </w:p>
        </w:tc>
        <w:tc>
          <w:tcPr>
            <w:tcW w:w="1080" w:type="pct"/>
            <w:hideMark/>
          </w:tcPr>
          <w:p w14:paraId="4A28FF4F"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Sintesis seluruh korpus dan konteks energi Riau</w:t>
            </w:r>
          </w:p>
        </w:tc>
        <w:tc>
          <w:tcPr>
            <w:tcW w:w="1258" w:type="pct"/>
            <w:hideMark/>
          </w:tcPr>
          <w:p w14:paraId="21D766DF" w14:textId="77777777" w:rsidR="00BE412A" w:rsidRPr="003B78DF" w:rsidRDefault="00BE412A" w:rsidP="009E430E">
            <w:pPr>
              <w:rPr>
                <w:rFonts w:ascii="Times New Roman" w:hAnsi="Times New Roman" w:cs="Times New Roman"/>
                <w:sz w:val="16"/>
                <w:szCs w:val="16"/>
                <w:lang w:val="sv-SE"/>
              </w:rPr>
            </w:pPr>
            <w:r w:rsidRPr="003B78DF">
              <w:rPr>
                <w:rFonts w:ascii="Times New Roman" w:hAnsi="Times New Roman" w:cs="Times New Roman"/>
                <w:sz w:val="16"/>
                <w:szCs w:val="16"/>
                <w:lang w:val="sv-SE"/>
              </w:rPr>
              <w:t>Ketahanan energi memiliki prasyarat normatif di luar infrastruktur dan teknologi</w:t>
            </w:r>
          </w:p>
        </w:tc>
      </w:tr>
    </w:tbl>
    <w:p w14:paraId="097EBE05" w14:textId="77777777" w:rsidR="00BE412A" w:rsidRPr="008E0AE3" w:rsidRDefault="00BE412A" w:rsidP="00BE412A">
      <w:pPr>
        <w:spacing w:after="0" w:line="240" w:lineRule="auto"/>
        <w:rPr>
          <w:rFonts w:ascii="Times New Roman" w:hAnsi="Times New Roman" w:cs="Times New Roman"/>
        </w:rPr>
      </w:pPr>
    </w:p>
    <w:p w14:paraId="5E4C819C" w14:textId="77777777" w:rsidR="00BE412A" w:rsidRPr="008F78FE" w:rsidRDefault="00BE412A" w:rsidP="003B78DF">
      <w:pPr>
        <w:spacing w:after="0" w:line="240" w:lineRule="auto"/>
        <w:jc w:val="both"/>
        <w:rPr>
          <w:rFonts w:ascii="Times New Roman" w:hAnsi="Times New Roman" w:cs="Times New Roman"/>
          <w:b/>
          <w:bCs/>
          <w:i/>
          <w:iCs/>
        </w:rPr>
      </w:pPr>
      <w:r w:rsidRPr="008F78FE">
        <w:rPr>
          <w:rFonts w:ascii="Times New Roman" w:hAnsi="Times New Roman" w:cs="Times New Roman"/>
          <w:b/>
          <w:bCs/>
          <w:i/>
          <w:iCs/>
        </w:rPr>
        <w:t>Nilai Budaya Tersedia sebagai Repertoar Normatif</w:t>
      </w:r>
    </w:p>
    <w:p w14:paraId="38151590" w14:textId="272F8318" w:rsidR="00BE412A" w:rsidRPr="008E0AE3" w:rsidRDefault="00BE412A" w:rsidP="003B78DF">
      <w:pPr>
        <w:spacing w:after="0" w:line="240" w:lineRule="auto"/>
        <w:ind w:firstLine="709"/>
        <w:jc w:val="both"/>
        <w:rPr>
          <w:rFonts w:ascii="Times New Roman" w:hAnsi="Times New Roman" w:cs="Times New Roman"/>
        </w:rPr>
      </w:pPr>
      <w:r w:rsidRPr="008E0AE3">
        <w:rPr>
          <w:rFonts w:ascii="Times New Roman" w:hAnsi="Times New Roman" w:cs="Times New Roman"/>
        </w:rPr>
        <w:t xml:space="preserve">Temuan pertama menunjukkan bahwa budaya Melayu Riau memiliki seperangkat nilai yang jelas untuk mengatur hubungan antara individu, masyarakat, pemimpin, dan alam. Di LAMR, nilai-nilai seperti amanah, </w:t>
      </w:r>
      <w:proofErr w:type="spellStart"/>
      <w:r w:rsidRPr="008E0AE3">
        <w:rPr>
          <w:rFonts w:ascii="Times New Roman" w:hAnsi="Times New Roman" w:cs="Times New Roman"/>
        </w:rPr>
        <w:t>marwah</w:t>
      </w:r>
      <w:proofErr w:type="spellEnd"/>
      <w:r w:rsidRPr="008E0AE3">
        <w:rPr>
          <w:rFonts w:ascii="Times New Roman" w:hAnsi="Times New Roman" w:cs="Times New Roman"/>
        </w:rPr>
        <w:t xml:space="preserve">, integritas, musyawarah, gotong royong, tanggung jawab, dan kepedulian lingkungan menjadi lebih dari sekadar repertoar moral. Melalui falsafah </w:t>
      </w:r>
      <w:r w:rsidRPr="008E0AE3">
        <w:rPr>
          <w:rFonts w:ascii="Times New Roman" w:hAnsi="Times New Roman" w:cs="Times New Roman"/>
          <w:i/>
          <w:iCs/>
        </w:rPr>
        <w:t>Adat Bersendi Syarak, Syarak Bersendi Kitabullah</w:t>
      </w:r>
      <w:r w:rsidRPr="008E0AE3">
        <w:rPr>
          <w:rFonts w:ascii="Times New Roman" w:hAnsi="Times New Roman" w:cs="Times New Roman"/>
        </w:rPr>
        <w:t xml:space="preserve">, hubungan manusia dengan alam dijaga berdasarkan keseimbangan dan tanggung jawab kepada </w:t>
      </w:r>
      <w:r w:rsidRPr="008E0AE3">
        <w:rPr>
          <w:rFonts w:ascii="Times New Roman" w:hAnsi="Times New Roman" w:cs="Times New Roman"/>
        </w:rPr>
        <w:lastRenderedPageBreak/>
        <w:t>Tuhan dan masyarakat. Hal ini penting karena mengindikasikan bahwa budaya ini secara riil turut memandu pengelolaan sumber daya. Alam tidak dipandang sebagai sumber untuk dieksploitasi, melainkan sesuatu untuk dikelola dengan penuh tanggung jawab. Dalam konteks ini, amanah menjadi standar untuk menilai apakah seseorang menggunakan wewenang dan sumber daya secara benar</w:t>
      </w:r>
      <w:r w:rsidR="003B78DF">
        <w:rPr>
          <w:rFonts w:ascii="Times New Roman" w:hAnsi="Times New Roman" w:cs="Times New Roman"/>
        </w:rPr>
        <w:t xml:space="preserve"> </w:t>
      </w:r>
      <w:r w:rsidRPr="008E0AE3">
        <w:rPr>
          <w:rFonts w:ascii="Times New Roman" w:hAnsi="Times New Roman" w:cs="Times New Roman"/>
        </w:rPr>
        <w:t>demikian pula dengan gotong royong dan musyawarah, yang menjadi fondasi bagi setiap tindakan yang mengutamakan kerja sama dan kepentingan bersama.</w:t>
      </w:r>
    </w:p>
    <w:p w14:paraId="1BE911A0" w14:textId="77777777" w:rsidR="00BE412A" w:rsidRPr="008E0AE3" w:rsidRDefault="00BE412A" w:rsidP="00BE412A">
      <w:pPr>
        <w:spacing w:after="0" w:line="240" w:lineRule="auto"/>
        <w:ind w:firstLine="709"/>
        <w:jc w:val="both"/>
        <w:rPr>
          <w:rFonts w:ascii="Times New Roman" w:hAnsi="Times New Roman" w:cs="Times New Roman"/>
        </w:rPr>
      </w:pPr>
      <w:r w:rsidRPr="008E0AE3">
        <w:rPr>
          <w:rFonts w:ascii="Times New Roman" w:hAnsi="Times New Roman" w:cs="Times New Roman"/>
        </w:rPr>
        <w:t>Sejarah Kesultanan Siak memperkuat repertoar nilai ini melalui keteladanan Sultan Syarif Kasim II. Ia tercatat melakukan beberapa hal yang menjadi teladan, antara lain menyerahkan wilayah dan harta kerajaan untuk perjuangan bangsa, mengutamakan kepentingan nasional, dan mendukung pendidikan masyarakat. Tindakan-tindakan ini membuktikan bagaimana nilai pengorbanan, kepentingan bersama, kepemimpinan, dan tanggung jawab dipraktikkan. Karena itu, repertoar nilai dalam kasus ini memiliki dua wujud. LAMR menyajikannya sebagai norma adat dan ajaran sosial, sedangkan sejarah Siak menyajikannya sebagai keteladanan tokoh. Pembedaan ini penting karena norma tidak hanya diwariskan lewat ucapan tentang apa yang baik, tetapi juga lewat tindakan nyata dari sosok yang layak ditiru.</w:t>
      </w:r>
    </w:p>
    <w:p w14:paraId="5755F892" w14:textId="77777777" w:rsidR="00BE412A" w:rsidRPr="008E0AE3" w:rsidRDefault="00BE412A" w:rsidP="00BE412A">
      <w:pPr>
        <w:spacing w:after="0" w:line="240" w:lineRule="auto"/>
        <w:rPr>
          <w:rFonts w:ascii="Times New Roman" w:hAnsi="Times New Roman" w:cs="Times New Roman"/>
        </w:rPr>
      </w:pPr>
    </w:p>
    <w:p w14:paraId="182DE3E4" w14:textId="77777777" w:rsidR="00BE412A" w:rsidRPr="00DF59AF" w:rsidRDefault="00BE412A" w:rsidP="003B78DF">
      <w:pPr>
        <w:spacing w:after="0" w:line="240" w:lineRule="auto"/>
        <w:jc w:val="both"/>
        <w:rPr>
          <w:rFonts w:ascii="Times New Roman" w:hAnsi="Times New Roman" w:cs="Times New Roman"/>
          <w:b/>
          <w:bCs/>
          <w:i/>
          <w:iCs/>
        </w:rPr>
      </w:pPr>
      <w:r w:rsidRPr="00DF59AF">
        <w:rPr>
          <w:rFonts w:ascii="Times New Roman" w:hAnsi="Times New Roman" w:cs="Times New Roman"/>
          <w:b/>
          <w:bCs/>
          <w:i/>
          <w:iCs/>
        </w:rPr>
        <w:t>Institusi Budaya Menjadi Saluran Transmisi Norma</w:t>
      </w:r>
    </w:p>
    <w:p w14:paraId="338C560E" w14:textId="77777777" w:rsidR="00BE412A" w:rsidRPr="008E0AE3" w:rsidRDefault="00BE412A" w:rsidP="003B78DF">
      <w:pPr>
        <w:spacing w:after="0" w:line="240" w:lineRule="auto"/>
        <w:ind w:firstLine="709"/>
        <w:jc w:val="both"/>
        <w:rPr>
          <w:rFonts w:ascii="Times New Roman" w:hAnsi="Times New Roman" w:cs="Times New Roman"/>
        </w:rPr>
      </w:pPr>
      <w:r w:rsidRPr="008E0AE3">
        <w:rPr>
          <w:rFonts w:ascii="Times New Roman" w:hAnsi="Times New Roman" w:cs="Times New Roman"/>
        </w:rPr>
        <w:t xml:space="preserve">Temuan kedua menunjukkan bahwa nilai budaya diteruskan melalui institusi. LAMR, Istana Siak, dan Museum Sang Nila Utama memiliki peran yang berbeda namun saling melengkapi. LAMR berperan menjaga dan mengembangkan nilai-nilai Melayu. Melalui pembinaan dan pelestarian tradisi, lembaga ini menanamkan nilai seperti amanah, musyawarah, dan gotong royong. Sebagai mitra pemerintah, LAMR juga memastikan pembangunan daerah tetap berakar pada nilai lokal. Hal ini membuktikan bahwa nilai budaya tidak hanya berpindah dari orang ke orang, tetapi secara sadar dijaga oleh institusi. LAMR bertindak sebagai wadah yang menjaga nilai-nilai tersebut agar terus hidup dan diterapkan. Di sisi lain, Istana Siak memiliki peran yang berbeda. Istana tidak </w:t>
      </w:r>
      <w:r w:rsidRPr="008E0AE3">
        <w:rPr>
          <w:rFonts w:ascii="Times New Roman" w:hAnsi="Times New Roman" w:cs="Times New Roman"/>
        </w:rPr>
        <w:t>mengajarkan aturan adat secara langsung, melainkan menjadi teladan historis. Sejarah Kesultanan Siak menunjukkan keterbukaan terhadap ilmu pengetahuan dan dunia luar tanpa kehilangan identitas Melayu. Buktinya terlihat dari arsitektur istana yang memadukan unsur Melayu, Eropa, dan Timur Tengah, yang mencerminkan kemampuan beradaptasi terhadap perubahan sekaligus keteguhan dalam mempertahankan jati diri.</w:t>
      </w:r>
    </w:p>
    <w:p w14:paraId="29CE21B7" w14:textId="714F7B32" w:rsidR="00BE412A" w:rsidRPr="008E0AE3" w:rsidRDefault="00BE412A" w:rsidP="00BE412A">
      <w:pPr>
        <w:spacing w:after="0" w:line="240" w:lineRule="auto"/>
        <w:ind w:firstLine="709"/>
        <w:jc w:val="both"/>
        <w:rPr>
          <w:rFonts w:ascii="Times New Roman" w:hAnsi="Times New Roman" w:cs="Times New Roman"/>
          <w:color w:val="00B050"/>
        </w:rPr>
      </w:pPr>
      <w:r w:rsidRPr="008E0AE3">
        <w:rPr>
          <w:rFonts w:ascii="Times New Roman" w:hAnsi="Times New Roman" w:cs="Times New Roman"/>
        </w:rPr>
        <w:t>Museum Sang Nila Utama berperan dengan caranya sendiri. Melalui berbagai artefak dan naskah yang merekam perjalanan masyarakat Melayu, museum mengomunikasikan sejarah dan identitas budaya secara nyata sekaligus menjadi sarana pendidikan bagi masyarakat luas. Jika kita melihat ketiga institusi ini secara bersamaan, terlihat sebuah sistem transmisi yang berlapis di mana LAMR mempertahankan norma, Istana menyediakan keteladanan, dan Museum mendokumentasikan memori. Ketiganya saling melengkapi dalam fungsi kebudayaan untuk membentuk karakter</w:t>
      </w:r>
      <w:r w:rsidR="003B78DF">
        <w:rPr>
          <w:rFonts w:ascii="Times New Roman" w:hAnsi="Times New Roman" w:cs="Times New Roman"/>
        </w:rPr>
        <w:t xml:space="preserve"> </w:t>
      </w:r>
      <w:r w:rsidRPr="008E0AE3">
        <w:rPr>
          <w:rFonts w:ascii="Times New Roman" w:hAnsi="Times New Roman" w:cs="Times New Roman"/>
        </w:rPr>
        <w:t>saling melengkapi bukan hanya dalam pengertian fungsi kebudayaannya, tetapi juga mekanisme reproduksi normanya.</w:t>
      </w:r>
    </w:p>
    <w:p w14:paraId="63F04005" w14:textId="77777777" w:rsidR="00BE412A" w:rsidRPr="008E0AE3" w:rsidRDefault="00BE412A" w:rsidP="00BE412A">
      <w:pPr>
        <w:spacing w:after="0" w:line="240" w:lineRule="auto"/>
        <w:rPr>
          <w:rFonts w:ascii="Times New Roman" w:hAnsi="Times New Roman" w:cs="Times New Roman"/>
        </w:rPr>
      </w:pPr>
    </w:p>
    <w:p w14:paraId="12D4F828" w14:textId="77777777" w:rsidR="00BE412A" w:rsidRPr="008F78FE" w:rsidRDefault="00BE412A" w:rsidP="00084FED">
      <w:pPr>
        <w:spacing w:after="0" w:line="240" w:lineRule="auto"/>
        <w:jc w:val="both"/>
        <w:rPr>
          <w:rFonts w:ascii="Times New Roman" w:hAnsi="Times New Roman" w:cs="Times New Roman"/>
          <w:b/>
          <w:bCs/>
          <w:i/>
          <w:iCs/>
        </w:rPr>
      </w:pPr>
      <w:r w:rsidRPr="008F78FE">
        <w:rPr>
          <w:rFonts w:ascii="Times New Roman" w:hAnsi="Times New Roman" w:cs="Times New Roman"/>
          <w:b/>
          <w:bCs/>
          <w:i/>
          <w:iCs/>
        </w:rPr>
        <w:t>Dari Nilai Moral Ke Norma yang Mengatur Perilaku</w:t>
      </w:r>
    </w:p>
    <w:p w14:paraId="628EEDE6" w14:textId="6C88932E" w:rsidR="003B78DF" w:rsidRPr="008E0AE3" w:rsidRDefault="00BE412A" w:rsidP="00084FED">
      <w:pPr>
        <w:spacing w:after="0" w:line="240" w:lineRule="auto"/>
        <w:ind w:firstLine="720"/>
        <w:jc w:val="both"/>
        <w:rPr>
          <w:rFonts w:ascii="Times New Roman" w:hAnsi="Times New Roman" w:cs="Times New Roman"/>
        </w:rPr>
      </w:pPr>
      <w:r w:rsidRPr="008E0AE3">
        <w:rPr>
          <w:rFonts w:ascii="Times New Roman" w:hAnsi="Times New Roman" w:cs="Times New Roman"/>
        </w:rPr>
        <w:t xml:space="preserve">Temuan ketiga merupakan bagian yang paling penting bagi argumen artikel ini. Data menunjukkan bahwa nilai budaya tidak dipahami hanya sebagai sesuatu yang baik, tetapi dihubungkan dengan ekspektasi tentang bagaimana manusia seharusnya bertindak. Pada LAMR, prinsip keseimbangan dalam hubungan manusia dan alam menempatkan pengelolaan sumber daya dalam kerangka moral dan tanggung jawab. Amanah, integritas, tanggung jawab, dan kepedulian terhadap lingkungan kemudian dikaitkan dengan kebutuhan akan tata kelola energi yang transparan, </w:t>
      </w:r>
      <w:proofErr w:type="spellStart"/>
      <w:r w:rsidRPr="008E0AE3">
        <w:rPr>
          <w:rFonts w:ascii="Times New Roman" w:hAnsi="Times New Roman" w:cs="Times New Roman"/>
        </w:rPr>
        <w:t>akuntabel</w:t>
      </w:r>
      <w:proofErr w:type="spellEnd"/>
      <w:r w:rsidRPr="008E0AE3">
        <w:rPr>
          <w:rFonts w:ascii="Times New Roman" w:hAnsi="Times New Roman" w:cs="Times New Roman"/>
        </w:rPr>
        <w:t>, dan berkelanjutan. Pola ini dapat diringkas sebagaimana digambarkan Tabel 4.</w:t>
      </w:r>
    </w:p>
    <w:p w14:paraId="41EED348" w14:textId="77777777" w:rsidR="00BE412A" w:rsidRPr="008E0AE3" w:rsidRDefault="00BE412A" w:rsidP="00BE412A">
      <w:pPr>
        <w:spacing w:before="240" w:after="0" w:line="240" w:lineRule="auto"/>
        <w:jc w:val="center"/>
        <w:rPr>
          <w:rFonts w:ascii="Times New Roman" w:hAnsi="Times New Roman" w:cs="Times New Roman"/>
          <w:b/>
          <w:bCs/>
        </w:rPr>
      </w:pPr>
      <w:r w:rsidRPr="008E0AE3">
        <w:rPr>
          <w:rFonts w:ascii="Times New Roman" w:hAnsi="Times New Roman" w:cs="Times New Roman"/>
          <w:b/>
          <w:bCs/>
        </w:rPr>
        <w:t>Tabel 4. Translasi Nilai menjadi Norma Perilaku</w:t>
      </w:r>
    </w:p>
    <w:tbl>
      <w:tblPr>
        <w:tblStyle w:val="TableGrid"/>
        <w:tblW w:w="444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6"/>
        <w:gridCol w:w="1417"/>
        <w:gridCol w:w="1749"/>
      </w:tblGrid>
      <w:tr w:rsidR="00BE412A" w:rsidRPr="008F78FE" w14:paraId="15BA5F86" w14:textId="77777777" w:rsidTr="009E430E">
        <w:tc>
          <w:tcPr>
            <w:tcW w:w="1276" w:type="dxa"/>
            <w:vAlign w:val="center"/>
            <w:hideMark/>
          </w:tcPr>
          <w:p w14:paraId="022C3E69" w14:textId="77777777" w:rsidR="00BE412A" w:rsidRPr="008F78FE" w:rsidRDefault="00BE412A" w:rsidP="009E430E">
            <w:pPr>
              <w:jc w:val="center"/>
              <w:rPr>
                <w:rFonts w:ascii="Times New Roman" w:hAnsi="Times New Roman" w:cs="Times New Roman"/>
                <w:b/>
                <w:bCs/>
                <w:sz w:val="18"/>
                <w:szCs w:val="18"/>
              </w:rPr>
            </w:pPr>
            <w:r w:rsidRPr="008F78FE">
              <w:rPr>
                <w:rFonts w:ascii="Times New Roman" w:hAnsi="Times New Roman" w:cs="Times New Roman"/>
                <w:b/>
                <w:bCs/>
                <w:sz w:val="18"/>
                <w:szCs w:val="18"/>
              </w:rPr>
              <w:t xml:space="preserve">Nilai </w:t>
            </w:r>
            <w:r>
              <w:rPr>
                <w:rFonts w:ascii="Times New Roman" w:hAnsi="Times New Roman" w:cs="Times New Roman"/>
                <w:b/>
                <w:bCs/>
                <w:sz w:val="18"/>
                <w:szCs w:val="18"/>
              </w:rPr>
              <w:t>y</w:t>
            </w:r>
            <w:r w:rsidRPr="008F78FE">
              <w:rPr>
                <w:rFonts w:ascii="Times New Roman" w:hAnsi="Times New Roman" w:cs="Times New Roman"/>
                <w:b/>
                <w:bCs/>
                <w:sz w:val="18"/>
                <w:szCs w:val="18"/>
              </w:rPr>
              <w:t xml:space="preserve">ang </w:t>
            </w:r>
            <w:proofErr w:type="spellStart"/>
            <w:r w:rsidRPr="008F78FE">
              <w:rPr>
                <w:rFonts w:ascii="Times New Roman" w:hAnsi="Times New Roman" w:cs="Times New Roman"/>
                <w:b/>
                <w:bCs/>
                <w:sz w:val="18"/>
                <w:szCs w:val="18"/>
              </w:rPr>
              <w:t>Ditemukan</w:t>
            </w:r>
            <w:proofErr w:type="spellEnd"/>
          </w:p>
        </w:tc>
        <w:tc>
          <w:tcPr>
            <w:tcW w:w="1417" w:type="dxa"/>
            <w:vAlign w:val="center"/>
            <w:hideMark/>
          </w:tcPr>
          <w:p w14:paraId="76630008" w14:textId="77777777" w:rsidR="00BE412A" w:rsidRPr="008F78FE" w:rsidRDefault="00BE412A" w:rsidP="009E430E">
            <w:pPr>
              <w:jc w:val="center"/>
              <w:rPr>
                <w:rFonts w:ascii="Times New Roman" w:hAnsi="Times New Roman" w:cs="Times New Roman"/>
                <w:b/>
                <w:bCs/>
                <w:sz w:val="18"/>
                <w:szCs w:val="18"/>
              </w:rPr>
            </w:pPr>
            <w:proofErr w:type="spellStart"/>
            <w:r w:rsidRPr="008F78FE">
              <w:rPr>
                <w:rFonts w:ascii="Times New Roman" w:hAnsi="Times New Roman" w:cs="Times New Roman"/>
                <w:b/>
                <w:bCs/>
                <w:sz w:val="18"/>
                <w:szCs w:val="18"/>
              </w:rPr>
              <w:t>Makna</w:t>
            </w:r>
            <w:proofErr w:type="spellEnd"/>
            <w:r w:rsidRPr="008F78FE">
              <w:rPr>
                <w:rFonts w:ascii="Times New Roman" w:hAnsi="Times New Roman" w:cs="Times New Roman"/>
                <w:b/>
                <w:bCs/>
                <w:sz w:val="18"/>
                <w:szCs w:val="18"/>
              </w:rPr>
              <w:t xml:space="preserve"> </w:t>
            </w:r>
            <w:proofErr w:type="spellStart"/>
            <w:r w:rsidRPr="008F78FE">
              <w:rPr>
                <w:rFonts w:ascii="Times New Roman" w:hAnsi="Times New Roman" w:cs="Times New Roman"/>
                <w:b/>
                <w:bCs/>
                <w:sz w:val="18"/>
                <w:szCs w:val="18"/>
              </w:rPr>
              <w:t>Normatif</w:t>
            </w:r>
            <w:proofErr w:type="spellEnd"/>
            <w:r w:rsidRPr="008F78FE">
              <w:rPr>
                <w:rFonts w:ascii="Times New Roman" w:hAnsi="Times New Roman" w:cs="Times New Roman"/>
                <w:b/>
                <w:bCs/>
                <w:sz w:val="18"/>
                <w:szCs w:val="18"/>
              </w:rPr>
              <w:t xml:space="preserve"> </w:t>
            </w:r>
            <w:proofErr w:type="spellStart"/>
            <w:r>
              <w:rPr>
                <w:rFonts w:ascii="Times New Roman" w:hAnsi="Times New Roman" w:cs="Times New Roman"/>
                <w:b/>
                <w:bCs/>
                <w:sz w:val="18"/>
                <w:szCs w:val="18"/>
              </w:rPr>
              <w:t>d</w:t>
            </w:r>
            <w:r w:rsidRPr="008F78FE">
              <w:rPr>
                <w:rFonts w:ascii="Times New Roman" w:hAnsi="Times New Roman" w:cs="Times New Roman"/>
                <w:b/>
                <w:bCs/>
                <w:sz w:val="18"/>
                <w:szCs w:val="18"/>
              </w:rPr>
              <w:t>alam</w:t>
            </w:r>
            <w:proofErr w:type="spellEnd"/>
            <w:r w:rsidRPr="008F78FE">
              <w:rPr>
                <w:rFonts w:ascii="Times New Roman" w:hAnsi="Times New Roman" w:cs="Times New Roman"/>
                <w:b/>
                <w:bCs/>
                <w:sz w:val="18"/>
                <w:szCs w:val="18"/>
              </w:rPr>
              <w:t xml:space="preserve"> Data</w:t>
            </w:r>
          </w:p>
        </w:tc>
        <w:tc>
          <w:tcPr>
            <w:tcW w:w="1749" w:type="dxa"/>
            <w:vAlign w:val="center"/>
            <w:hideMark/>
          </w:tcPr>
          <w:p w14:paraId="4F053476" w14:textId="77777777" w:rsidR="00BE412A" w:rsidRPr="00450343" w:rsidRDefault="00BE412A" w:rsidP="009E430E">
            <w:pPr>
              <w:jc w:val="center"/>
              <w:rPr>
                <w:rFonts w:ascii="Times New Roman" w:hAnsi="Times New Roman" w:cs="Times New Roman"/>
                <w:b/>
                <w:bCs/>
                <w:sz w:val="18"/>
                <w:szCs w:val="18"/>
                <w:lang w:val="sv-SE"/>
              </w:rPr>
            </w:pPr>
            <w:r w:rsidRPr="00450343">
              <w:rPr>
                <w:rFonts w:ascii="Times New Roman" w:hAnsi="Times New Roman" w:cs="Times New Roman"/>
                <w:b/>
                <w:bCs/>
                <w:sz w:val="18"/>
                <w:szCs w:val="18"/>
                <w:lang w:val="sv-SE"/>
              </w:rPr>
              <w:t>Bentuk Perilaku yang Ditunjukkan/Diharapkan</w:t>
            </w:r>
          </w:p>
        </w:tc>
      </w:tr>
      <w:tr w:rsidR="00BE412A" w:rsidRPr="008F78FE" w14:paraId="39CFD086" w14:textId="77777777" w:rsidTr="009E430E">
        <w:tc>
          <w:tcPr>
            <w:tcW w:w="1276" w:type="dxa"/>
            <w:hideMark/>
          </w:tcPr>
          <w:p w14:paraId="29EF4430" w14:textId="77777777" w:rsidR="00BE412A" w:rsidRPr="008F78FE" w:rsidRDefault="00BE412A" w:rsidP="009E430E">
            <w:pPr>
              <w:rPr>
                <w:rFonts w:ascii="Times New Roman" w:hAnsi="Times New Roman" w:cs="Times New Roman"/>
                <w:sz w:val="18"/>
                <w:szCs w:val="18"/>
              </w:rPr>
            </w:pPr>
            <w:r w:rsidRPr="008F78FE">
              <w:rPr>
                <w:rFonts w:ascii="Times New Roman" w:hAnsi="Times New Roman" w:cs="Times New Roman"/>
                <w:sz w:val="18"/>
                <w:szCs w:val="18"/>
              </w:rPr>
              <w:t>Amanah</w:t>
            </w:r>
          </w:p>
        </w:tc>
        <w:tc>
          <w:tcPr>
            <w:tcW w:w="1417" w:type="dxa"/>
            <w:hideMark/>
          </w:tcPr>
          <w:p w14:paraId="5B17BB3B"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 xml:space="preserve">Kewajiban menjaga sesuatu </w:t>
            </w:r>
            <w:r w:rsidRPr="00450343">
              <w:rPr>
                <w:rFonts w:ascii="Times New Roman" w:hAnsi="Times New Roman" w:cs="Times New Roman"/>
                <w:sz w:val="18"/>
                <w:szCs w:val="18"/>
                <w:lang w:val="sv-SE"/>
              </w:rPr>
              <w:lastRenderedPageBreak/>
              <w:t>yang dipercayakan</w:t>
            </w:r>
          </w:p>
        </w:tc>
        <w:tc>
          <w:tcPr>
            <w:tcW w:w="1749" w:type="dxa"/>
            <w:hideMark/>
          </w:tcPr>
          <w:p w14:paraId="38769F73"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lastRenderedPageBreak/>
              <w:t xml:space="preserve">Tidak menyalahgunakan </w:t>
            </w:r>
            <w:r w:rsidRPr="00450343">
              <w:rPr>
                <w:rFonts w:ascii="Times New Roman" w:hAnsi="Times New Roman" w:cs="Times New Roman"/>
                <w:sz w:val="18"/>
                <w:szCs w:val="18"/>
                <w:lang w:val="sv-SE"/>
              </w:rPr>
              <w:lastRenderedPageBreak/>
              <w:t>kewenangan atau sumber daya</w:t>
            </w:r>
          </w:p>
        </w:tc>
      </w:tr>
      <w:tr w:rsidR="00BE412A" w:rsidRPr="008F78FE" w14:paraId="5A13BDB5" w14:textId="77777777" w:rsidTr="009E430E">
        <w:tc>
          <w:tcPr>
            <w:tcW w:w="1276" w:type="dxa"/>
            <w:hideMark/>
          </w:tcPr>
          <w:p w14:paraId="747F8509"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lastRenderedPageBreak/>
              <w:t>Integritas</w:t>
            </w:r>
            <w:proofErr w:type="spellEnd"/>
          </w:p>
        </w:tc>
        <w:tc>
          <w:tcPr>
            <w:tcW w:w="1417" w:type="dxa"/>
            <w:hideMark/>
          </w:tcPr>
          <w:p w14:paraId="5B1F9ABC"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Konsistensi antara nilai dan tindakan</w:t>
            </w:r>
          </w:p>
        </w:tc>
        <w:tc>
          <w:tcPr>
            <w:tcW w:w="1749" w:type="dxa"/>
            <w:hideMark/>
          </w:tcPr>
          <w:p w14:paraId="668010DC"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Pengambilan</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keputusan</w:t>
            </w:r>
            <w:proofErr w:type="spellEnd"/>
            <w:r w:rsidRPr="008F78FE">
              <w:rPr>
                <w:rFonts w:ascii="Times New Roman" w:hAnsi="Times New Roman" w:cs="Times New Roman"/>
                <w:sz w:val="18"/>
                <w:szCs w:val="18"/>
              </w:rPr>
              <w:t xml:space="preserve"> yang </w:t>
            </w:r>
            <w:proofErr w:type="spellStart"/>
            <w:r w:rsidRPr="008F78FE">
              <w:rPr>
                <w:rFonts w:ascii="Times New Roman" w:hAnsi="Times New Roman" w:cs="Times New Roman"/>
                <w:sz w:val="18"/>
                <w:szCs w:val="18"/>
              </w:rPr>
              <w:t>bertanggung</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jawab</w:t>
            </w:r>
            <w:proofErr w:type="spellEnd"/>
          </w:p>
        </w:tc>
      </w:tr>
      <w:tr w:rsidR="00BE412A" w:rsidRPr="008F78FE" w14:paraId="1AAAA089" w14:textId="77777777" w:rsidTr="009E430E">
        <w:tc>
          <w:tcPr>
            <w:tcW w:w="1276" w:type="dxa"/>
            <w:hideMark/>
          </w:tcPr>
          <w:p w14:paraId="4261B746"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Musyawarah</w:t>
            </w:r>
            <w:proofErr w:type="spellEnd"/>
          </w:p>
        </w:tc>
        <w:tc>
          <w:tcPr>
            <w:tcW w:w="1417" w:type="dxa"/>
            <w:hideMark/>
          </w:tcPr>
          <w:p w14:paraId="39C0CF33"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Keputusan tidak semata-mata ditentukan kepentingan individual</w:t>
            </w:r>
          </w:p>
        </w:tc>
        <w:tc>
          <w:tcPr>
            <w:tcW w:w="1749" w:type="dxa"/>
            <w:hideMark/>
          </w:tcPr>
          <w:p w14:paraId="34D9980B"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Konsultasi dan pengambilan keputusan bersama</w:t>
            </w:r>
          </w:p>
        </w:tc>
      </w:tr>
      <w:tr w:rsidR="00BE412A" w:rsidRPr="008F78FE" w14:paraId="7E05DAA6" w14:textId="77777777" w:rsidTr="009E430E">
        <w:tc>
          <w:tcPr>
            <w:tcW w:w="1276" w:type="dxa"/>
            <w:hideMark/>
          </w:tcPr>
          <w:p w14:paraId="1EDD66A3" w14:textId="77777777" w:rsidR="00BE412A" w:rsidRPr="008F78FE" w:rsidRDefault="00BE412A" w:rsidP="009E430E">
            <w:pPr>
              <w:rPr>
                <w:rFonts w:ascii="Times New Roman" w:hAnsi="Times New Roman" w:cs="Times New Roman"/>
                <w:sz w:val="18"/>
                <w:szCs w:val="18"/>
              </w:rPr>
            </w:pPr>
            <w:r w:rsidRPr="008F78FE">
              <w:rPr>
                <w:rFonts w:ascii="Times New Roman" w:hAnsi="Times New Roman" w:cs="Times New Roman"/>
                <w:sz w:val="18"/>
                <w:szCs w:val="18"/>
              </w:rPr>
              <w:t>Gotong royong</w:t>
            </w:r>
          </w:p>
        </w:tc>
        <w:tc>
          <w:tcPr>
            <w:tcW w:w="1417" w:type="dxa"/>
            <w:hideMark/>
          </w:tcPr>
          <w:p w14:paraId="2EB73DE7"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Kepentingan tertentu ditangani sebagai tanggung jawab bersama</w:t>
            </w:r>
          </w:p>
        </w:tc>
        <w:tc>
          <w:tcPr>
            <w:tcW w:w="1749" w:type="dxa"/>
            <w:hideMark/>
          </w:tcPr>
          <w:p w14:paraId="46CE93B8"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Kerja sama dan pembagian tanggung jawab</w:t>
            </w:r>
          </w:p>
        </w:tc>
      </w:tr>
      <w:tr w:rsidR="00BE412A" w:rsidRPr="008F78FE" w14:paraId="675630ED" w14:textId="77777777" w:rsidTr="009E430E">
        <w:tc>
          <w:tcPr>
            <w:tcW w:w="1276" w:type="dxa"/>
            <w:hideMark/>
          </w:tcPr>
          <w:p w14:paraId="41A20638"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Tanggung</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jawab</w:t>
            </w:r>
            <w:proofErr w:type="spellEnd"/>
          </w:p>
        </w:tc>
        <w:tc>
          <w:tcPr>
            <w:tcW w:w="1417" w:type="dxa"/>
            <w:hideMark/>
          </w:tcPr>
          <w:p w14:paraId="7FD56C2E"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Tindakan memiliki konsekuensi terhadap masyarakat dan lingkungan</w:t>
            </w:r>
          </w:p>
        </w:tc>
        <w:tc>
          <w:tcPr>
            <w:tcW w:w="1749" w:type="dxa"/>
            <w:hideMark/>
          </w:tcPr>
          <w:p w14:paraId="39A418BF"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Pengelolaan sumber daya secara hati-hati</w:t>
            </w:r>
          </w:p>
        </w:tc>
      </w:tr>
      <w:tr w:rsidR="00BE412A" w:rsidRPr="008F78FE" w14:paraId="45405772" w14:textId="77777777" w:rsidTr="009E430E">
        <w:tc>
          <w:tcPr>
            <w:tcW w:w="1276" w:type="dxa"/>
            <w:hideMark/>
          </w:tcPr>
          <w:p w14:paraId="709FD042"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Kepedulian</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lingkungan</w:t>
            </w:r>
            <w:proofErr w:type="spellEnd"/>
          </w:p>
        </w:tc>
        <w:tc>
          <w:tcPr>
            <w:tcW w:w="1417" w:type="dxa"/>
            <w:hideMark/>
          </w:tcPr>
          <w:p w14:paraId="3E055DDA"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Alam merupakan bagian dari tanggung jawab moral</w:t>
            </w:r>
          </w:p>
        </w:tc>
        <w:tc>
          <w:tcPr>
            <w:tcW w:w="1749" w:type="dxa"/>
            <w:hideMark/>
          </w:tcPr>
          <w:p w14:paraId="6EEE40FF" w14:textId="77777777" w:rsidR="00BE412A" w:rsidRPr="008F78FE" w:rsidRDefault="00BE412A" w:rsidP="009E430E">
            <w:pPr>
              <w:rPr>
                <w:rFonts w:ascii="Times New Roman" w:hAnsi="Times New Roman" w:cs="Times New Roman"/>
                <w:sz w:val="18"/>
                <w:szCs w:val="18"/>
              </w:rPr>
            </w:pPr>
            <w:r w:rsidRPr="008F78FE">
              <w:rPr>
                <w:rFonts w:ascii="Times New Roman" w:hAnsi="Times New Roman" w:cs="Times New Roman"/>
                <w:i/>
                <w:iCs/>
                <w:sz w:val="18"/>
                <w:szCs w:val="18"/>
              </w:rPr>
              <w:t>Stewardship</w:t>
            </w:r>
            <w:r w:rsidRPr="008F78FE">
              <w:rPr>
                <w:rFonts w:ascii="Times New Roman" w:hAnsi="Times New Roman" w:cs="Times New Roman"/>
                <w:sz w:val="18"/>
                <w:szCs w:val="18"/>
              </w:rPr>
              <w:t xml:space="preserve"> dan </w:t>
            </w:r>
            <w:proofErr w:type="spellStart"/>
            <w:r w:rsidRPr="008F78FE">
              <w:rPr>
                <w:rFonts w:ascii="Times New Roman" w:hAnsi="Times New Roman" w:cs="Times New Roman"/>
                <w:sz w:val="18"/>
                <w:szCs w:val="18"/>
              </w:rPr>
              <w:t>perhatian</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terhadap</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keberlanjutan</w:t>
            </w:r>
            <w:proofErr w:type="spellEnd"/>
          </w:p>
        </w:tc>
      </w:tr>
      <w:tr w:rsidR="00BE412A" w:rsidRPr="008F78FE" w14:paraId="2EE5559E" w14:textId="77777777" w:rsidTr="009E430E">
        <w:tc>
          <w:tcPr>
            <w:tcW w:w="1276" w:type="dxa"/>
            <w:hideMark/>
          </w:tcPr>
          <w:p w14:paraId="50677DF7" w14:textId="77777777" w:rsidR="00BE412A" w:rsidRPr="008F78FE" w:rsidRDefault="00BE412A" w:rsidP="009E430E">
            <w:pPr>
              <w:rPr>
                <w:rFonts w:ascii="Times New Roman" w:hAnsi="Times New Roman" w:cs="Times New Roman"/>
                <w:sz w:val="18"/>
                <w:szCs w:val="18"/>
              </w:rPr>
            </w:pPr>
            <w:r w:rsidRPr="008F78FE">
              <w:rPr>
                <w:rFonts w:ascii="Times New Roman" w:hAnsi="Times New Roman" w:cs="Times New Roman"/>
                <w:sz w:val="18"/>
                <w:szCs w:val="18"/>
              </w:rPr>
              <w:t xml:space="preserve">Rela </w:t>
            </w:r>
            <w:proofErr w:type="spellStart"/>
            <w:r w:rsidRPr="008F78FE">
              <w:rPr>
                <w:rFonts w:ascii="Times New Roman" w:hAnsi="Times New Roman" w:cs="Times New Roman"/>
                <w:sz w:val="18"/>
                <w:szCs w:val="18"/>
              </w:rPr>
              <w:t>berkorban</w:t>
            </w:r>
            <w:proofErr w:type="spellEnd"/>
          </w:p>
        </w:tc>
        <w:tc>
          <w:tcPr>
            <w:tcW w:w="1417" w:type="dxa"/>
            <w:hideMark/>
          </w:tcPr>
          <w:p w14:paraId="2D58467F"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Kepentingan bersama dapat ditempatkan di atas keuntungan pribadi</w:t>
            </w:r>
          </w:p>
        </w:tc>
        <w:tc>
          <w:tcPr>
            <w:tcW w:w="1749" w:type="dxa"/>
            <w:hideMark/>
          </w:tcPr>
          <w:p w14:paraId="2E9540D7"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Menunda keuntungan pribadi demi kepentingan jangka panjang</w:t>
            </w:r>
          </w:p>
        </w:tc>
      </w:tr>
      <w:tr w:rsidR="00BE412A" w:rsidRPr="008F78FE" w14:paraId="598DCC6C" w14:textId="77777777" w:rsidTr="009E430E">
        <w:tc>
          <w:tcPr>
            <w:tcW w:w="1276" w:type="dxa"/>
            <w:hideMark/>
          </w:tcPr>
          <w:p w14:paraId="2F125C40"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Nasionalisme</w:t>
            </w:r>
            <w:proofErr w:type="spellEnd"/>
            <w:r w:rsidRPr="008F78FE">
              <w:rPr>
                <w:rFonts w:ascii="Times New Roman" w:hAnsi="Times New Roman" w:cs="Times New Roman"/>
                <w:sz w:val="18"/>
                <w:szCs w:val="18"/>
              </w:rPr>
              <w:t>/</w:t>
            </w:r>
            <w:proofErr w:type="spellStart"/>
            <w:r w:rsidRPr="008F78FE">
              <w:rPr>
                <w:rFonts w:ascii="Times New Roman" w:hAnsi="Times New Roman" w:cs="Times New Roman"/>
                <w:sz w:val="18"/>
                <w:szCs w:val="18"/>
              </w:rPr>
              <w:t>pengabdian</w:t>
            </w:r>
            <w:proofErr w:type="spellEnd"/>
          </w:p>
        </w:tc>
        <w:tc>
          <w:tcPr>
            <w:tcW w:w="1417" w:type="dxa"/>
            <w:hideMark/>
          </w:tcPr>
          <w:p w14:paraId="6E69D286"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Sumber daya strategis dipahami dalam kerangka kepentingan bangsa</w:t>
            </w:r>
          </w:p>
        </w:tc>
        <w:tc>
          <w:tcPr>
            <w:tcW w:w="1749" w:type="dxa"/>
            <w:hideMark/>
          </w:tcPr>
          <w:p w14:paraId="6CBE3F43"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Mendahulukan</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kepentingan</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nasional</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dalam</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keputusan</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strategis</w:t>
            </w:r>
            <w:proofErr w:type="spellEnd"/>
          </w:p>
        </w:tc>
      </w:tr>
    </w:tbl>
    <w:p w14:paraId="2FE83868" w14:textId="77777777" w:rsidR="00BE412A" w:rsidRPr="008E0AE3" w:rsidRDefault="00BE412A" w:rsidP="00BE412A">
      <w:pPr>
        <w:spacing w:after="0" w:line="240" w:lineRule="auto"/>
        <w:rPr>
          <w:rFonts w:ascii="Times New Roman" w:hAnsi="Times New Roman" w:cs="Times New Roman"/>
        </w:rPr>
      </w:pPr>
    </w:p>
    <w:p w14:paraId="7AC8BA34" w14:textId="77777777" w:rsidR="00BE412A" w:rsidRPr="008E0AE3" w:rsidRDefault="00BE412A" w:rsidP="00BE412A">
      <w:pPr>
        <w:spacing w:after="0" w:line="240" w:lineRule="auto"/>
        <w:ind w:firstLine="709"/>
        <w:jc w:val="both"/>
        <w:rPr>
          <w:rFonts w:ascii="Times New Roman" w:hAnsi="Times New Roman" w:cs="Times New Roman"/>
        </w:rPr>
      </w:pPr>
      <w:r w:rsidRPr="008E0AE3">
        <w:rPr>
          <w:rFonts w:ascii="Times New Roman" w:hAnsi="Times New Roman" w:cs="Times New Roman"/>
        </w:rPr>
        <w:t xml:space="preserve">Pemetaan ini menunjukkan mengapa istilah “norma informal” lebih tepat daripada sekadar “nilai”. Sebuah nilai baru berfungsi mengatur ketika menciptakan ekspektasi perilaku. Dalam kasus ini, amanah menuntut tanggung jawab, musyawarah mengharuskan koordinasi, gotong royong mewajibkan kerja sama, dan kepedulian lingkungan menuntut pertimbangan matang atas pemanfaatan sumber daya. Keteladanan Sultan Syarif Kasim II memperkuat pola tersebut. Penyerahan wilayah dan harta kerajaan kepada Republik Indonesia bukan sekadar dicatat sebagai fakta sejarah, melainkan dijadikan teladan yang mengaitkan pengorbanan dengan kepentingan nasional. Tindakan ini kemudian dijadikan rujukan bagi sumber daya manusia di sektor energi, khususnya dalam mengutamakan bangsa di atas kepentingan pribadi serta menjaga integritas. Dengan kata lain, teladan historis ini menjembatani nilai abstrak dan tindakan nyata: nasionalisme berarti mengutamakan </w:t>
      </w:r>
      <w:r w:rsidRPr="008E0AE3">
        <w:rPr>
          <w:rFonts w:ascii="Times New Roman" w:hAnsi="Times New Roman" w:cs="Times New Roman"/>
        </w:rPr>
        <w:t>bangsa, pengorbanan berarti memilih kepentingan jangka panjang di atas keuntungan pribadi, dan integritas berarti mengambil keputusan yang semata-mata demi kepentingan publik.</w:t>
      </w:r>
    </w:p>
    <w:p w14:paraId="019C6796" w14:textId="77777777" w:rsidR="00BE412A" w:rsidRPr="008E0AE3" w:rsidRDefault="00BE412A" w:rsidP="00BE412A">
      <w:pPr>
        <w:spacing w:after="0" w:line="240" w:lineRule="auto"/>
        <w:rPr>
          <w:rFonts w:ascii="Times New Roman" w:hAnsi="Times New Roman" w:cs="Times New Roman"/>
        </w:rPr>
      </w:pPr>
    </w:p>
    <w:p w14:paraId="683EA15C" w14:textId="77777777" w:rsidR="00BE412A" w:rsidRPr="008F78FE" w:rsidRDefault="00BE412A" w:rsidP="00084FED">
      <w:pPr>
        <w:spacing w:after="0" w:line="240" w:lineRule="auto"/>
        <w:jc w:val="both"/>
        <w:rPr>
          <w:rFonts w:ascii="Times New Roman" w:hAnsi="Times New Roman" w:cs="Times New Roman"/>
          <w:b/>
          <w:bCs/>
          <w:i/>
          <w:iCs/>
        </w:rPr>
      </w:pPr>
      <w:r w:rsidRPr="008F78FE">
        <w:rPr>
          <w:rFonts w:ascii="Times New Roman" w:hAnsi="Times New Roman" w:cs="Times New Roman"/>
          <w:b/>
          <w:bCs/>
          <w:i/>
          <w:iCs/>
        </w:rPr>
        <w:t>Relevansi Langsung Norma dengan Praktik Tata Kelola Sumber Daya</w:t>
      </w:r>
    </w:p>
    <w:p w14:paraId="45C12548" w14:textId="77777777" w:rsidR="00BE412A" w:rsidRPr="00CC1383" w:rsidRDefault="00BE412A" w:rsidP="003B78DF">
      <w:pPr>
        <w:spacing w:after="0" w:line="240" w:lineRule="auto"/>
        <w:ind w:firstLine="709"/>
        <w:jc w:val="both"/>
        <w:rPr>
          <w:rFonts w:ascii="Times New Roman" w:hAnsi="Times New Roman" w:cs="Times New Roman"/>
        </w:rPr>
      </w:pPr>
      <w:r w:rsidRPr="00CC1383">
        <w:rPr>
          <w:rFonts w:ascii="Times New Roman" w:hAnsi="Times New Roman" w:cs="Times New Roman"/>
        </w:rPr>
        <w:t xml:space="preserve">Temuan selanjutnya menunjukkan bahwa nilai dan norma baru bermakna </w:t>
      </w:r>
      <w:r w:rsidRPr="008E0AE3">
        <w:rPr>
          <w:rFonts w:ascii="Times New Roman" w:hAnsi="Times New Roman" w:cs="Times New Roman"/>
        </w:rPr>
        <w:t>jika</w:t>
      </w:r>
      <w:r w:rsidRPr="00CC1383">
        <w:rPr>
          <w:rFonts w:ascii="Times New Roman" w:hAnsi="Times New Roman" w:cs="Times New Roman"/>
        </w:rPr>
        <w:t xml:space="preserve"> dihubungkan dengan praktik pengelolaan sumber daya. Data LAMR dengan jelas mengaitkan nilai-nilai seperti amanah, integritas, dan gotong royong dengan tata kelola energi yang baik. Namun, hubungan empiris ini bukan sekadar </w:t>
      </w:r>
      <w:r w:rsidRPr="008E0AE3">
        <w:rPr>
          <w:rFonts w:ascii="Times New Roman" w:hAnsi="Times New Roman" w:cs="Times New Roman"/>
        </w:rPr>
        <w:t>“</w:t>
      </w:r>
      <w:r w:rsidRPr="00CC1383">
        <w:rPr>
          <w:rFonts w:ascii="Times New Roman" w:hAnsi="Times New Roman" w:cs="Times New Roman"/>
        </w:rPr>
        <w:t>budaya menghasilkan energi</w:t>
      </w:r>
      <w:r w:rsidRPr="008E0AE3">
        <w:rPr>
          <w:rFonts w:ascii="Times New Roman" w:hAnsi="Times New Roman" w:cs="Times New Roman"/>
        </w:rPr>
        <w:t>”</w:t>
      </w:r>
      <w:r w:rsidRPr="00CC1383">
        <w:rPr>
          <w:rFonts w:ascii="Times New Roman" w:hAnsi="Times New Roman" w:cs="Times New Roman"/>
        </w:rPr>
        <w:t>. Hubungannya lebih spesifik</w:t>
      </w:r>
      <w:r w:rsidRPr="008E0AE3">
        <w:rPr>
          <w:rFonts w:ascii="Times New Roman" w:hAnsi="Times New Roman" w:cs="Times New Roman"/>
        </w:rPr>
        <w:t xml:space="preserve"> di mana</w:t>
      </w:r>
      <w:r w:rsidRPr="00CC1383">
        <w:rPr>
          <w:rFonts w:ascii="Times New Roman" w:hAnsi="Times New Roman" w:cs="Times New Roman"/>
        </w:rPr>
        <w:t xml:space="preserve"> norma memengaruhi perilaku pengelola, yang pada akhirnya menentukan kualitas tata kelola. </w:t>
      </w:r>
      <w:r w:rsidRPr="008E0AE3">
        <w:rPr>
          <w:rFonts w:ascii="Times New Roman" w:hAnsi="Times New Roman" w:cs="Times New Roman"/>
        </w:rPr>
        <w:t xml:space="preserve">Sederhananya, meskipun nilai budaya tidak secara langsung menambah cadangan minyak, nilai-nilai ini </w:t>
      </w:r>
      <w:r w:rsidRPr="00CC1383">
        <w:rPr>
          <w:rFonts w:ascii="Times New Roman" w:hAnsi="Times New Roman" w:cs="Times New Roman"/>
        </w:rPr>
        <w:t>memberikan batasan moral dan arah perilaku bagi para pengelola sumber daya.</w:t>
      </w:r>
    </w:p>
    <w:p w14:paraId="1DC01ED0" w14:textId="77777777" w:rsidR="00BE412A" w:rsidRPr="00CC1383" w:rsidRDefault="00BE412A" w:rsidP="00BE412A">
      <w:pPr>
        <w:spacing w:after="0" w:line="240" w:lineRule="auto"/>
        <w:ind w:firstLine="709"/>
        <w:jc w:val="both"/>
        <w:rPr>
          <w:rFonts w:ascii="Times New Roman" w:hAnsi="Times New Roman" w:cs="Times New Roman"/>
        </w:rPr>
      </w:pPr>
      <w:r w:rsidRPr="00CC1383">
        <w:rPr>
          <w:rFonts w:ascii="Times New Roman" w:hAnsi="Times New Roman" w:cs="Times New Roman"/>
        </w:rPr>
        <w:t>Pemahaman ini menjadi lebih jelas jika dilihat dari konteks pengelolaan sumber daya secara nasional. Laporan mencatat lebih dari 2.700 lokasi tambang ilegal (PETI) dan kerugian negara ratusan triliun rupiah dari tata niaga timah akibat eksploitasi jangka pendek</w:t>
      </w:r>
      <w:r w:rsidRPr="008E0AE3">
        <w:rPr>
          <w:rFonts w:ascii="Times New Roman" w:hAnsi="Times New Roman" w:cs="Times New Roman"/>
        </w:rPr>
        <w:t xml:space="preserve"> </w:t>
      </w:r>
      <w:r w:rsidRPr="008E0AE3">
        <w:rPr>
          <w:rFonts w:ascii="Times New Roman" w:hAnsi="Times New Roman" w:cs="Times New Roman"/>
        </w:rPr>
        <w:fldChar w:fldCharType="begin"/>
      </w:r>
      <w:r w:rsidRPr="008E0AE3">
        <w:rPr>
          <w:rFonts w:ascii="Times New Roman" w:hAnsi="Times New Roman" w:cs="Times New Roman"/>
        </w:rPr>
        <w:instrText xml:space="preserve"> ADDIN ZOTERO_ITEM CSL_CITATION {"citationID":"ruGY2iIu","properties":{"unsorted":false,"formattedCitation":"(Kementerian Energi dan Sumber Daya Mineral Republik Indonesia, 2022b, 2022a)","plainCitation":"(Kementerian Energi dan Sumber Daya Mineral Republik Indonesia, 2022b, 2022a)","noteIndex":0},"citationItems":[{"id":12096,"uris":["http://zotero.org/users/10066221/items/39ZM8ZXP"],"itemData":{"id":12096,"type":"report","abstract":"KEMENTERIAN ENERGI DAN SUMBER DAYA MINERAL \n\nREPUBLIK INDONESIA\n\nSIARAN PERS\n\nNOMOR: 259.Pers/04/SJI/2022\n\nTanggal: 12 Juli 2022 \n\nPertambangan Tanpa Izin Perlu Menjadi Perhatian Bersama\n\nPertambangan Tanpa Izin atau PETI terus ...","genre":"Siaran Pers Nomor","language":"en","number":"259.Pers/04/SJI/2022","publisher":"Kementerian ESDM","title":"Pertambangan Tanpa Izin Perlu Menjadi Perhatian Bersama","URL":"https://www.esdm.go.id/id/media-center/arsip-berita/pertambangan-tanpa-izin-perlu-menjadi-perhatian-bersama","author":[{"family":"Kementerian Energi dan Sumber Daya Mineral Republik Indonesia","given":""}],"accessed":{"date-parts":[["2026",8,28]]},"issued":{"date-parts":[["2022",7,12]]}}},{"id":12098,"uris":["http://zotero.org/users/10066221/items/Q6MQ25BH"],"itemData":{"id":12098,"type":"report","abstract":"KEMENTERIAN ENERGI DAN SUMBER DAYA MINERAL \n\nREPUBLIK INDONESIA\n\nSIARAN PERS\n\nNOMOR: 259.Pers/04/SJI/2022\n\nTanggal: 12 Juli 2022 \n\nPertambangan Tanpa Izin Perlu Menjadi Perhatian Bersama\n\nPertambangan Tanpa Izin atau PETI terus ...","genre":"Siaran Pers Nomor","language":"en","number":"316.Pers/04/SJI/2022","publisher":"Kementerian ESDM","title":"Cegah Kerugian Negara Semakin Besar, Pembentukan Unit Penegakan Hukum Di KESDM Adalah Keniscayaan","URL":"https://www.esdm.go.id/id/media-center/arsip-berita/cegah-kerugian-negara-semakin-besar-pembentukan-unit-penegakan-hukum-di-kesdm-adalah-keniscayaan","author":[{"family":"Kementerian Energi dan Sumber Daya Mineral Republik Indonesia","given":""}],"accessed":{"date-parts":[["2026",8,28]]},"issued":{"date-parts":[["2022",8,23]]}}}],"schema":"https://github.com/citation-style-language/schema/raw/master/csl-citation.json"} </w:instrText>
      </w:r>
      <w:r w:rsidRPr="008E0AE3">
        <w:rPr>
          <w:rFonts w:ascii="Times New Roman" w:hAnsi="Times New Roman" w:cs="Times New Roman"/>
        </w:rPr>
        <w:fldChar w:fldCharType="separate"/>
      </w:r>
      <w:r w:rsidRPr="008E0AE3">
        <w:rPr>
          <w:rFonts w:ascii="Times New Roman" w:hAnsi="Times New Roman" w:cs="Times New Roman"/>
          <w:sz w:val="24"/>
        </w:rPr>
        <w:t>(Kementerian Energi dan Sumber Daya Mineral Republik Indonesia, 2022b, 2022a)</w:t>
      </w:r>
      <w:r w:rsidRPr="008E0AE3">
        <w:rPr>
          <w:rFonts w:ascii="Times New Roman" w:hAnsi="Times New Roman" w:cs="Times New Roman"/>
        </w:rPr>
        <w:fldChar w:fldCharType="end"/>
      </w:r>
      <w:r w:rsidRPr="00CC1383">
        <w:rPr>
          <w:rFonts w:ascii="Times New Roman" w:hAnsi="Times New Roman" w:cs="Times New Roman"/>
        </w:rPr>
        <w:t xml:space="preserve">. </w:t>
      </w:r>
      <w:r w:rsidRPr="008E0AE3">
        <w:rPr>
          <w:rFonts w:ascii="Times New Roman" w:hAnsi="Times New Roman" w:cs="Times New Roman"/>
        </w:rPr>
        <w:t>Kami jelas tidak</w:t>
      </w:r>
      <w:r w:rsidRPr="00CC1383">
        <w:rPr>
          <w:rFonts w:ascii="Times New Roman" w:hAnsi="Times New Roman" w:cs="Times New Roman"/>
        </w:rPr>
        <w:t xml:space="preserve"> mengklaim bahwa </w:t>
      </w:r>
      <w:r w:rsidRPr="008E0AE3">
        <w:rPr>
          <w:rFonts w:ascii="Times New Roman" w:hAnsi="Times New Roman" w:cs="Times New Roman"/>
        </w:rPr>
        <w:t>“</w:t>
      </w:r>
      <w:r w:rsidRPr="00CC1383">
        <w:rPr>
          <w:rFonts w:ascii="Times New Roman" w:hAnsi="Times New Roman" w:cs="Times New Roman"/>
        </w:rPr>
        <w:t>kurangnya nilai budaya menyebabkan tambang ilegal</w:t>
      </w:r>
      <w:r w:rsidRPr="008E0AE3">
        <w:rPr>
          <w:rFonts w:ascii="Times New Roman" w:hAnsi="Times New Roman" w:cs="Times New Roman"/>
        </w:rPr>
        <w:t>”</w:t>
      </w:r>
      <w:r w:rsidRPr="00CC1383">
        <w:rPr>
          <w:rFonts w:ascii="Times New Roman" w:hAnsi="Times New Roman" w:cs="Times New Roman"/>
        </w:rPr>
        <w:t xml:space="preserve">, karena data tidak mendukung kesimpulan sebab-akibat langsung seperti itu. </w:t>
      </w:r>
      <w:r w:rsidRPr="008E0AE3">
        <w:rPr>
          <w:rFonts w:ascii="Times New Roman" w:hAnsi="Times New Roman" w:cs="Times New Roman"/>
        </w:rPr>
        <w:t>Apa yang jelas ditunjukkan oleh data adalah bahwa</w:t>
      </w:r>
      <w:r w:rsidRPr="00CC1383">
        <w:rPr>
          <w:rFonts w:ascii="Times New Roman" w:hAnsi="Times New Roman" w:cs="Times New Roman"/>
        </w:rPr>
        <w:t xml:space="preserve"> kasus-kasus tersebut memperlihatkan masalah tata kelola yang membuat nilai-nilai seperti amanah, integritas, dan tanggung jawab menjadi sangat relevan. Singkatnya, nilai budaya penting bukan karena ia memproduksi energi, melainkan karena ia menentukan bagaimana sumber daya digunakan, siapa yang diuntungkan, dan bagaimana dampak jangka panjang dipertimbangkan.</w:t>
      </w:r>
    </w:p>
    <w:p w14:paraId="6E6ADB5D" w14:textId="6556E0F4" w:rsidR="00BE412A" w:rsidRPr="00CC1383" w:rsidRDefault="00BE412A" w:rsidP="00BE412A">
      <w:pPr>
        <w:spacing w:after="0" w:line="240" w:lineRule="auto"/>
        <w:ind w:firstLine="709"/>
        <w:jc w:val="both"/>
        <w:rPr>
          <w:rFonts w:ascii="Times New Roman" w:hAnsi="Times New Roman" w:cs="Times New Roman"/>
        </w:rPr>
      </w:pPr>
      <w:r w:rsidRPr="00CC1383">
        <w:rPr>
          <w:rFonts w:ascii="Times New Roman" w:hAnsi="Times New Roman" w:cs="Times New Roman"/>
        </w:rPr>
        <w:t>Kaitan ini sangat nyata dalam konteks Riau, wilayah penyumbang 30% minyak nasional</w:t>
      </w:r>
      <w:r w:rsidRPr="008E0AE3">
        <w:rPr>
          <w:rFonts w:ascii="Times New Roman" w:hAnsi="Times New Roman" w:cs="Times New Roman"/>
        </w:rPr>
        <w:t xml:space="preserve"> </w:t>
      </w:r>
      <w:r w:rsidRPr="008E0AE3">
        <w:rPr>
          <w:rFonts w:ascii="Times New Roman" w:hAnsi="Times New Roman" w:cs="Times New Roman"/>
        </w:rPr>
        <w:fldChar w:fldCharType="begin"/>
      </w:r>
      <w:r w:rsidRPr="008E0AE3">
        <w:rPr>
          <w:rFonts w:ascii="Times New Roman" w:hAnsi="Times New Roman" w:cs="Times New Roman"/>
        </w:rPr>
        <w:instrText xml:space="preserve"> ADDIN ZOTERO_ITEM CSL_CITATION {"citationID":"j70NUDtC","properties":{"unsorted":false,"formattedCitation":"(Kementerian Energi dan Sumber Daya Mineral Republik Indonesia, 2025)","plainCitation":"(Kementerian Energi dan Sumber Daya Mineral Republik Indonesia, 2025)","noteIndex":0},"citationItems":[{"id":12099,"uris":["http://zotero.org/users/10066221/items/AX4T34MQ"],"itemData":{"id":12099,"type":"book","publisher":"Kementerian ESDM","publisher-place":"Jakarta","title":"Handbook of Energy &amp; Economy Statistics of Indonesia","author":[{"family":"Kementerian Energi dan Sumber Daya Mineral Republik Indonesia","given":""}],"issued":{"date-parts":[["2025"]]}}}],"schema":"https://github.com/citation-style-language/schema/raw/master/csl-citation.json"} </w:instrText>
      </w:r>
      <w:r w:rsidRPr="008E0AE3">
        <w:rPr>
          <w:rFonts w:ascii="Times New Roman" w:hAnsi="Times New Roman" w:cs="Times New Roman"/>
        </w:rPr>
        <w:fldChar w:fldCharType="separate"/>
      </w:r>
      <w:r w:rsidRPr="008E0AE3">
        <w:rPr>
          <w:rFonts w:ascii="Times New Roman" w:hAnsi="Times New Roman" w:cs="Times New Roman"/>
          <w:sz w:val="24"/>
        </w:rPr>
        <w:t>(Kementerian Energi dan Sumber Daya Mineral Republik Indonesia, 2025)</w:t>
      </w:r>
      <w:r w:rsidRPr="008E0AE3">
        <w:rPr>
          <w:rFonts w:ascii="Times New Roman" w:hAnsi="Times New Roman" w:cs="Times New Roman"/>
        </w:rPr>
        <w:fldChar w:fldCharType="end"/>
      </w:r>
      <w:r w:rsidRPr="00CC1383">
        <w:rPr>
          <w:rFonts w:ascii="Times New Roman" w:hAnsi="Times New Roman" w:cs="Times New Roman"/>
        </w:rPr>
        <w:t xml:space="preserve">. Besarnya potensi energi di Riau tidak otomatis menjamin </w:t>
      </w:r>
      <w:r w:rsidRPr="00CC1383">
        <w:rPr>
          <w:rFonts w:ascii="Times New Roman" w:hAnsi="Times New Roman" w:cs="Times New Roman"/>
        </w:rPr>
        <w:lastRenderedPageBreak/>
        <w:t xml:space="preserve">pengelolaan yang baik. </w:t>
      </w:r>
      <w:r w:rsidRPr="008E0AE3">
        <w:rPr>
          <w:rFonts w:ascii="Times New Roman" w:hAnsi="Times New Roman" w:cs="Times New Roman"/>
        </w:rPr>
        <w:t>A</w:t>
      </w:r>
      <w:r w:rsidRPr="00CC1383">
        <w:rPr>
          <w:rFonts w:ascii="Times New Roman" w:hAnsi="Times New Roman" w:cs="Times New Roman"/>
        </w:rPr>
        <w:t>lam dan teknologi saja tidak cukup; dibutuhkan manusia yang mampu mengelolanya secara bertanggung jawab. Nilai-nilai yang ditemukan</w:t>
      </w:r>
      <w:r w:rsidR="003B78DF">
        <w:rPr>
          <w:rFonts w:ascii="Times New Roman" w:hAnsi="Times New Roman" w:cs="Times New Roman"/>
        </w:rPr>
        <w:t xml:space="preserve"> </w:t>
      </w:r>
      <w:r w:rsidRPr="00CC1383">
        <w:rPr>
          <w:rFonts w:ascii="Times New Roman" w:hAnsi="Times New Roman" w:cs="Times New Roman"/>
        </w:rPr>
        <w:t>seperti disiplin, keberanian mengambil keputusan, dan pengabdian pada kepentingan bersama</w:t>
      </w:r>
      <w:r w:rsidR="003B78DF">
        <w:rPr>
          <w:rFonts w:ascii="Times New Roman" w:hAnsi="Times New Roman" w:cs="Times New Roman"/>
        </w:rPr>
        <w:t xml:space="preserve"> </w:t>
      </w:r>
      <w:r w:rsidRPr="00CC1383">
        <w:rPr>
          <w:rFonts w:ascii="Times New Roman" w:hAnsi="Times New Roman" w:cs="Times New Roman"/>
        </w:rPr>
        <w:t xml:space="preserve">sangat sesuai dengan kebutuhan </w:t>
      </w:r>
      <w:r w:rsidRPr="008E0AE3">
        <w:rPr>
          <w:rFonts w:ascii="Times New Roman" w:hAnsi="Times New Roman" w:cs="Times New Roman"/>
        </w:rPr>
        <w:t>tersebut</w:t>
      </w:r>
      <w:r w:rsidRPr="00CC1383">
        <w:rPr>
          <w:rFonts w:ascii="Times New Roman" w:hAnsi="Times New Roman" w:cs="Times New Roman"/>
        </w:rPr>
        <w:t xml:space="preserve">. Temuan ini menggeser fokus dari </w:t>
      </w:r>
      <w:r w:rsidRPr="008E0AE3">
        <w:rPr>
          <w:rFonts w:ascii="Times New Roman" w:hAnsi="Times New Roman" w:cs="Times New Roman"/>
        </w:rPr>
        <w:t>“</w:t>
      </w:r>
      <w:r w:rsidRPr="00CC1383">
        <w:rPr>
          <w:rFonts w:ascii="Times New Roman" w:hAnsi="Times New Roman" w:cs="Times New Roman"/>
        </w:rPr>
        <w:t>berapa banyak energi yang tersedia</w:t>
      </w:r>
      <w:r w:rsidRPr="008E0AE3">
        <w:rPr>
          <w:rFonts w:ascii="Times New Roman" w:hAnsi="Times New Roman" w:cs="Times New Roman"/>
        </w:rPr>
        <w:t>”</w:t>
      </w:r>
      <w:r w:rsidRPr="00CC1383">
        <w:rPr>
          <w:rFonts w:ascii="Times New Roman" w:hAnsi="Times New Roman" w:cs="Times New Roman"/>
        </w:rPr>
        <w:t xml:space="preserve"> menjadi </w:t>
      </w:r>
      <w:r w:rsidRPr="008E0AE3">
        <w:rPr>
          <w:rFonts w:ascii="Times New Roman" w:hAnsi="Times New Roman" w:cs="Times New Roman"/>
        </w:rPr>
        <w:t>“</w:t>
      </w:r>
      <w:r w:rsidRPr="00CC1383">
        <w:rPr>
          <w:rFonts w:ascii="Times New Roman" w:hAnsi="Times New Roman" w:cs="Times New Roman"/>
        </w:rPr>
        <w:t>bagaimana energi tersebut dikelola</w:t>
      </w:r>
      <w:r w:rsidRPr="008E0AE3">
        <w:rPr>
          <w:rFonts w:ascii="Times New Roman" w:hAnsi="Times New Roman" w:cs="Times New Roman"/>
        </w:rPr>
        <w:t>”</w:t>
      </w:r>
      <w:r w:rsidRPr="00CC1383">
        <w:rPr>
          <w:rFonts w:ascii="Times New Roman" w:hAnsi="Times New Roman" w:cs="Times New Roman"/>
        </w:rPr>
        <w:t xml:space="preserve">. Kualitas manusia di sini bukan sekadar kemampuan teknis, melainkan juga integritas, etika, dan kepedulian pada keberlanjutan. Oleh karena itu, data Riau mendukung satu kesimpulan yang lebih spesifik namun lebih kuat: nilai budaya berkontribusi pada ketahanan energi melalui fungsi normatifnya, yaitu membentuk cara para aktor memahami tanggung jawab mereka atas sumber daya strategis. Ini berbeda dengan klaim bahwa budaya </w:t>
      </w:r>
      <w:r w:rsidRPr="008E0AE3">
        <w:rPr>
          <w:rFonts w:ascii="Times New Roman" w:hAnsi="Times New Roman" w:cs="Times New Roman"/>
        </w:rPr>
        <w:t>“</w:t>
      </w:r>
      <w:r w:rsidRPr="00CC1383">
        <w:rPr>
          <w:rFonts w:ascii="Times New Roman" w:hAnsi="Times New Roman" w:cs="Times New Roman"/>
        </w:rPr>
        <w:t>menjamin</w:t>
      </w:r>
      <w:r w:rsidRPr="008E0AE3">
        <w:rPr>
          <w:rFonts w:ascii="Times New Roman" w:hAnsi="Times New Roman" w:cs="Times New Roman"/>
        </w:rPr>
        <w:t>”</w:t>
      </w:r>
      <w:r w:rsidRPr="00CC1383">
        <w:rPr>
          <w:rFonts w:ascii="Times New Roman" w:hAnsi="Times New Roman" w:cs="Times New Roman"/>
        </w:rPr>
        <w:t xml:space="preserve"> ketahanan energi. Data tidak menunjukkan jaminan langsung, </w:t>
      </w:r>
      <w:r w:rsidRPr="008E0AE3">
        <w:rPr>
          <w:rFonts w:ascii="Times New Roman" w:hAnsi="Times New Roman" w:cs="Times New Roman"/>
        </w:rPr>
        <w:t>tetapi ia</w:t>
      </w:r>
      <w:r w:rsidRPr="00CC1383">
        <w:rPr>
          <w:rFonts w:ascii="Times New Roman" w:hAnsi="Times New Roman" w:cs="Times New Roman"/>
        </w:rPr>
        <w:t xml:space="preserve"> memperlihatkan lapisan nilai yang menopang perilaku tata kelola yang penting untuk keberlanjutan energi.</w:t>
      </w:r>
    </w:p>
    <w:p w14:paraId="146E7BC5" w14:textId="77777777" w:rsidR="00BE412A" w:rsidRPr="008E0AE3" w:rsidRDefault="00BE412A" w:rsidP="00BE412A">
      <w:pPr>
        <w:spacing w:after="0" w:line="240" w:lineRule="auto"/>
        <w:rPr>
          <w:rFonts w:ascii="Times New Roman" w:hAnsi="Times New Roman" w:cs="Times New Roman"/>
        </w:rPr>
      </w:pPr>
    </w:p>
    <w:p w14:paraId="6D8EE724" w14:textId="77777777" w:rsidR="00BE412A" w:rsidRPr="008F78FE" w:rsidRDefault="00BE412A" w:rsidP="00084FED">
      <w:pPr>
        <w:spacing w:after="0" w:line="240" w:lineRule="auto"/>
        <w:jc w:val="both"/>
        <w:rPr>
          <w:rFonts w:ascii="Times New Roman" w:hAnsi="Times New Roman" w:cs="Times New Roman"/>
          <w:b/>
          <w:bCs/>
          <w:i/>
          <w:iCs/>
        </w:rPr>
      </w:pPr>
      <w:r w:rsidRPr="008F78FE">
        <w:rPr>
          <w:rFonts w:ascii="Times New Roman" w:hAnsi="Times New Roman" w:cs="Times New Roman"/>
          <w:b/>
          <w:bCs/>
          <w:i/>
          <w:iCs/>
        </w:rPr>
        <w:t xml:space="preserve">Transmisi Norma Menghadapi Titik Lemah </w:t>
      </w:r>
      <w:proofErr w:type="spellStart"/>
      <w:r w:rsidRPr="008F78FE">
        <w:rPr>
          <w:rFonts w:ascii="Times New Roman" w:hAnsi="Times New Roman" w:cs="Times New Roman"/>
          <w:b/>
          <w:bCs/>
          <w:i/>
          <w:iCs/>
        </w:rPr>
        <w:t>Antargenerasi</w:t>
      </w:r>
      <w:proofErr w:type="spellEnd"/>
    </w:p>
    <w:p w14:paraId="1E464139" w14:textId="77777777" w:rsidR="00BE412A" w:rsidRPr="008E0AE3" w:rsidRDefault="00BE412A" w:rsidP="003B78DF">
      <w:pPr>
        <w:spacing w:after="0" w:line="240" w:lineRule="auto"/>
        <w:ind w:firstLine="720"/>
        <w:jc w:val="both"/>
        <w:rPr>
          <w:rFonts w:ascii="Times New Roman" w:hAnsi="Times New Roman" w:cs="Times New Roman"/>
        </w:rPr>
      </w:pPr>
      <w:r w:rsidRPr="008E0AE3">
        <w:rPr>
          <w:rFonts w:ascii="Times New Roman" w:hAnsi="Times New Roman" w:cs="Times New Roman"/>
        </w:rPr>
        <w:t>Temuan berikutnya memperlihatkan bahwa keberadaan repertoar nilai dan institusi transmisi belum menjamin keberhasilan reproduksi norma. Pada LAMR, tantangan yang diidentifikasi meliputi regenerasi tokoh adat, menurunnya minat generasi muda terhadap budaya tradisional, serta derasnya arus budaya asing. Tantangan tersebut dapat menggeser nilai lokal apabila pelestarian budaya tidak disertai inovasi. Temuan yang sama muncul dalam pembahasan kearifan lokal. Globalisasi, perubahan gaya hidup, dan menurunnya keterikatan terhadap nilai lokal disebut menghambat kemampuan kearifan lokal dalam mengarahkan perilaku generasi muda. Museum Sang Nila Utama menunjukkan bentuk gangguan yang berbeda. Museum masih memiliki fungsi konservasi dan pendidikan, tetapi menghadapi persaingan dengan media informasi berbasis teknologi yang lebih menarik bagi generasi muda. Karena itu, Pendekatan edukasi perlu menjadi lebih kreatif dan interaktif agar fungsi museum sebagai wahana internalisasi nilai tidak semakin berkurang. Ketiga temuan tersebut dapat dipetakan sebagai berikut.</w:t>
      </w:r>
    </w:p>
    <w:p w14:paraId="0840E5FA" w14:textId="77777777" w:rsidR="00BE412A" w:rsidRPr="008E0AE3" w:rsidRDefault="00BE412A" w:rsidP="00BE412A">
      <w:pPr>
        <w:spacing w:before="240" w:after="0" w:line="240" w:lineRule="auto"/>
        <w:jc w:val="center"/>
        <w:rPr>
          <w:rFonts w:ascii="Times New Roman" w:hAnsi="Times New Roman" w:cs="Times New Roman"/>
          <w:b/>
          <w:bCs/>
        </w:rPr>
      </w:pPr>
      <w:r w:rsidRPr="008E0AE3">
        <w:rPr>
          <w:rFonts w:ascii="Times New Roman" w:hAnsi="Times New Roman" w:cs="Times New Roman"/>
          <w:b/>
          <w:bCs/>
        </w:rPr>
        <w:t>Tabel 5. Titik Kuat dan Titik Lemah Rantai Reproduksi Norma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88"/>
        <w:gridCol w:w="1394"/>
        <w:gridCol w:w="1310"/>
      </w:tblGrid>
      <w:tr w:rsidR="00BE412A" w:rsidRPr="008F78FE" w14:paraId="15504E35" w14:textId="77777777" w:rsidTr="009E430E">
        <w:tc>
          <w:tcPr>
            <w:tcW w:w="0" w:type="auto"/>
            <w:vAlign w:val="center"/>
            <w:hideMark/>
          </w:tcPr>
          <w:p w14:paraId="3CC35920" w14:textId="77777777" w:rsidR="00BE412A" w:rsidRPr="008F78FE" w:rsidRDefault="00BE412A" w:rsidP="009E430E">
            <w:pPr>
              <w:jc w:val="center"/>
              <w:rPr>
                <w:rFonts w:ascii="Times New Roman" w:hAnsi="Times New Roman" w:cs="Times New Roman"/>
                <w:b/>
                <w:bCs/>
                <w:sz w:val="18"/>
                <w:szCs w:val="18"/>
              </w:rPr>
            </w:pPr>
            <w:proofErr w:type="spellStart"/>
            <w:r w:rsidRPr="008F78FE">
              <w:rPr>
                <w:rFonts w:ascii="Times New Roman" w:hAnsi="Times New Roman" w:cs="Times New Roman"/>
                <w:b/>
                <w:bCs/>
                <w:sz w:val="18"/>
                <w:szCs w:val="18"/>
              </w:rPr>
              <w:t>Tahap</w:t>
            </w:r>
            <w:proofErr w:type="spellEnd"/>
          </w:p>
        </w:tc>
        <w:tc>
          <w:tcPr>
            <w:tcW w:w="0" w:type="auto"/>
            <w:vAlign w:val="center"/>
            <w:hideMark/>
          </w:tcPr>
          <w:p w14:paraId="2D3EE808" w14:textId="77777777" w:rsidR="00BE412A" w:rsidRPr="008F78FE" w:rsidRDefault="00BE412A" w:rsidP="009E430E">
            <w:pPr>
              <w:jc w:val="center"/>
              <w:rPr>
                <w:rFonts w:ascii="Times New Roman" w:hAnsi="Times New Roman" w:cs="Times New Roman"/>
                <w:b/>
                <w:bCs/>
                <w:sz w:val="18"/>
                <w:szCs w:val="18"/>
              </w:rPr>
            </w:pPr>
            <w:proofErr w:type="spellStart"/>
            <w:r w:rsidRPr="008F78FE">
              <w:rPr>
                <w:rFonts w:ascii="Times New Roman" w:hAnsi="Times New Roman" w:cs="Times New Roman"/>
                <w:b/>
                <w:bCs/>
                <w:sz w:val="18"/>
                <w:szCs w:val="18"/>
              </w:rPr>
              <w:t>Infrastruktur</w:t>
            </w:r>
            <w:proofErr w:type="spellEnd"/>
            <w:r w:rsidRPr="008F78FE">
              <w:rPr>
                <w:rFonts w:ascii="Times New Roman" w:hAnsi="Times New Roman" w:cs="Times New Roman"/>
                <w:b/>
                <w:bCs/>
                <w:sz w:val="18"/>
                <w:szCs w:val="18"/>
              </w:rPr>
              <w:t xml:space="preserve"> </w:t>
            </w:r>
            <w:r>
              <w:rPr>
                <w:rFonts w:ascii="Times New Roman" w:hAnsi="Times New Roman" w:cs="Times New Roman"/>
                <w:b/>
                <w:bCs/>
                <w:sz w:val="18"/>
                <w:szCs w:val="18"/>
              </w:rPr>
              <w:t>y</w:t>
            </w:r>
            <w:r w:rsidRPr="008F78FE">
              <w:rPr>
                <w:rFonts w:ascii="Times New Roman" w:hAnsi="Times New Roman" w:cs="Times New Roman"/>
                <w:b/>
                <w:bCs/>
                <w:sz w:val="18"/>
                <w:szCs w:val="18"/>
              </w:rPr>
              <w:t xml:space="preserve">ang </w:t>
            </w:r>
            <w:proofErr w:type="spellStart"/>
            <w:r w:rsidRPr="008F78FE">
              <w:rPr>
                <w:rFonts w:ascii="Times New Roman" w:hAnsi="Times New Roman" w:cs="Times New Roman"/>
                <w:b/>
                <w:bCs/>
                <w:sz w:val="18"/>
                <w:szCs w:val="18"/>
              </w:rPr>
              <w:t>Tersedia</w:t>
            </w:r>
            <w:proofErr w:type="spellEnd"/>
          </w:p>
        </w:tc>
        <w:tc>
          <w:tcPr>
            <w:tcW w:w="0" w:type="auto"/>
            <w:vAlign w:val="center"/>
            <w:hideMark/>
          </w:tcPr>
          <w:p w14:paraId="615858B7" w14:textId="77777777" w:rsidR="00BE412A" w:rsidRPr="008F78FE" w:rsidRDefault="00BE412A" w:rsidP="009E430E">
            <w:pPr>
              <w:jc w:val="center"/>
              <w:rPr>
                <w:rFonts w:ascii="Times New Roman" w:hAnsi="Times New Roman" w:cs="Times New Roman"/>
                <w:b/>
                <w:bCs/>
                <w:sz w:val="18"/>
                <w:szCs w:val="18"/>
              </w:rPr>
            </w:pPr>
            <w:proofErr w:type="spellStart"/>
            <w:r w:rsidRPr="008F78FE">
              <w:rPr>
                <w:rFonts w:ascii="Times New Roman" w:hAnsi="Times New Roman" w:cs="Times New Roman"/>
                <w:b/>
                <w:bCs/>
                <w:sz w:val="18"/>
                <w:szCs w:val="18"/>
              </w:rPr>
              <w:t>Kerentanan</w:t>
            </w:r>
            <w:proofErr w:type="spellEnd"/>
            <w:r w:rsidRPr="008F78FE">
              <w:rPr>
                <w:rFonts w:ascii="Times New Roman" w:hAnsi="Times New Roman" w:cs="Times New Roman"/>
                <w:b/>
                <w:bCs/>
                <w:sz w:val="18"/>
                <w:szCs w:val="18"/>
              </w:rPr>
              <w:t xml:space="preserve"> </w:t>
            </w:r>
            <w:r>
              <w:rPr>
                <w:rFonts w:ascii="Times New Roman" w:hAnsi="Times New Roman" w:cs="Times New Roman"/>
                <w:b/>
                <w:bCs/>
                <w:sz w:val="18"/>
                <w:szCs w:val="18"/>
              </w:rPr>
              <w:t>y</w:t>
            </w:r>
            <w:r w:rsidRPr="008F78FE">
              <w:rPr>
                <w:rFonts w:ascii="Times New Roman" w:hAnsi="Times New Roman" w:cs="Times New Roman"/>
                <w:b/>
                <w:bCs/>
                <w:sz w:val="18"/>
                <w:szCs w:val="18"/>
              </w:rPr>
              <w:t xml:space="preserve">ang </w:t>
            </w:r>
            <w:proofErr w:type="spellStart"/>
            <w:r w:rsidRPr="008F78FE">
              <w:rPr>
                <w:rFonts w:ascii="Times New Roman" w:hAnsi="Times New Roman" w:cs="Times New Roman"/>
                <w:b/>
                <w:bCs/>
                <w:sz w:val="18"/>
                <w:szCs w:val="18"/>
              </w:rPr>
              <w:t>Ditemukan</w:t>
            </w:r>
            <w:proofErr w:type="spellEnd"/>
          </w:p>
        </w:tc>
      </w:tr>
      <w:tr w:rsidR="00BE412A" w:rsidRPr="008F78FE" w14:paraId="705C87DE" w14:textId="77777777" w:rsidTr="009E430E">
        <w:tc>
          <w:tcPr>
            <w:tcW w:w="0" w:type="auto"/>
            <w:hideMark/>
          </w:tcPr>
          <w:p w14:paraId="44D5060B" w14:textId="77777777" w:rsidR="00BE412A" w:rsidRPr="008F78FE" w:rsidRDefault="00BE412A" w:rsidP="009E430E">
            <w:pPr>
              <w:rPr>
                <w:rFonts w:ascii="Times New Roman" w:hAnsi="Times New Roman" w:cs="Times New Roman"/>
                <w:sz w:val="18"/>
                <w:szCs w:val="18"/>
              </w:rPr>
            </w:pPr>
            <w:r w:rsidRPr="008F78FE">
              <w:rPr>
                <w:rFonts w:ascii="Times New Roman" w:hAnsi="Times New Roman" w:cs="Times New Roman"/>
                <w:sz w:val="18"/>
                <w:szCs w:val="18"/>
              </w:rPr>
              <w:t>Nilai</w:t>
            </w:r>
          </w:p>
        </w:tc>
        <w:tc>
          <w:tcPr>
            <w:tcW w:w="0" w:type="auto"/>
            <w:hideMark/>
          </w:tcPr>
          <w:p w14:paraId="3B55B614"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Repertoar nilai Melayu masih jelas dan terdokumentasi</w:t>
            </w:r>
          </w:p>
        </w:tc>
        <w:tc>
          <w:tcPr>
            <w:tcW w:w="0" w:type="auto"/>
            <w:hideMark/>
          </w:tcPr>
          <w:p w14:paraId="6236EE30"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Nilai dapat berhenti sebagai pengetahuan atau simbol</w:t>
            </w:r>
          </w:p>
        </w:tc>
      </w:tr>
      <w:tr w:rsidR="00BE412A" w:rsidRPr="008F78FE" w14:paraId="2C1446EB" w14:textId="77777777" w:rsidTr="009E430E">
        <w:tc>
          <w:tcPr>
            <w:tcW w:w="0" w:type="auto"/>
            <w:hideMark/>
          </w:tcPr>
          <w:p w14:paraId="28D54716"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Transmisi</w:t>
            </w:r>
            <w:proofErr w:type="spellEnd"/>
          </w:p>
        </w:tc>
        <w:tc>
          <w:tcPr>
            <w:tcW w:w="0" w:type="auto"/>
            <w:hideMark/>
          </w:tcPr>
          <w:p w14:paraId="1914DF27"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LAMR, sejarah, museum, pendidikan, pembinaan</w:t>
            </w:r>
          </w:p>
        </w:tc>
        <w:tc>
          <w:tcPr>
            <w:tcW w:w="0" w:type="auto"/>
            <w:hideMark/>
          </w:tcPr>
          <w:p w14:paraId="50C18B92"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Regenerasi tokoh adat dan minat generasi muda</w:t>
            </w:r>
          </w:p>
        </w:tc>
      </w:tr>
      <w:tr w:rsidR="00BE412A" w:rsidRPr="008F78FE" w14:paraId="06137899" w14:textId="77777777" w:rsidTr="009E430E">
        <w:tc>
          <w:tcPr>
            <w:tcW w:w="0" w:type="auto"/>
            <w:hideMark/>
          </w:tcPr>
          <w:p w14:paraId="20F167E9"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Keteladanan</w:t>
            </w:r>
            <w:proofErr w:type="spellEnd"/>
          </w:p>
        </w:tc>
        <w:tc>
          <w:tcPr>
            <w:tcW w:w="0" w:type="auto"/>
            <w:hideMark/>
          </w:tcPr>
          <w:p w14:paraId="682C1482" w14:textId="77777777" w:rsidR="00BE412A" w:rsidRPr="00975F8F" w:rsidRDefault="00BE412A" w:rsidP="009E430E">
            <w:pPr>
              <w:rPr>
                <w:rFonts w:ascii="Times New Roman" w:hAnsi="Times New Roman" w:cs="Times New Roman"/>
                <w:sz w:val="18"/>
                <w:szCs w:val="18"/>
                <w:lang w:val="de-DE"/>
              </w:rPr>
            </w:pPr>
            <w:r w:rsidRPr="00975F8F">
              <w:rPr>
                <w:rFonts w:ascii="Times New Roman" w:hAnsi="Times New Roman" w:cs="Times New Roman"/>
                <w:sz w:val="18"/>
                <w:szCs w:val="18"/>
                <w:lang w:val="de-DE"/>
              </w:rPr>
              <w:t xml:space="preserve">Figur Sultan Syarif Kasim II </w:t>
            </w:r>
            <w:proofErr w:type="spellStart"/>
            <w:r w:rsidRPr="00975F8F">
              <w:rPr>
                <w:rFonts w:ascii="Times New Roman" w:hAnsi="Times New Roman" w:cs="Times New Roman"/>
                <w:sz w:val="18"/>
                <w:szCs w:val="18"/>
                <w:lang w:val="de-DE"/>
              </w:rPr>
              <w:t>menyediakan</w:t>
            </w:r>
            <w:proofErr w:type="spellEnd"/>
            <w:r w:rsidRPr="00975F8F">
              <w:rPr>
                <w:rFonts w:ascii="Times New Roman" w:hAnsi="Times New Roman" w:cs="Times New Roman"/>
                <w:sz w:val="18"/>
                <w:szCs w:val="18"/>
                <w:lang w:val="de-DE"/>
              </w:rPr>
              <w:t xml:space="preserve"> </w:t>
            </w:r>
            <w:proofErr w:type="spellStart"/>
            <w:r w:rsidRPr="00975F8F">
              <w:rPr>
                <w:rFonts w:ascii="Times New Roman" w:hAnsi="Times New Roman" w:cs="Times New Roman"/>
                <w:sz w:val="18"/>
                <w:szCs w:val="18"/>
                <w:lang w:val="de-DE"/>
              </w:rPr>
              <w:t>contoh</w:t>
            </w:r>
            <w:proofErr w:type="spellEnd"/>
            <w:r w:rsidRPr="00975F8F">
              <w:rPr>
                <w:rFonts w:ascii="Times New Roman" w:hAnsi="Times New Roman" w:cs="Times New Roman"/>
                <w:sz w:val="18"/>
                <w:szCs w:val="18"/>
                <w:lang w:val="de-DE"/>
              </w:rPr>
              <w:t xml:space="preserve"> konkret</w:t>
            </w:r>
          </w:p>
        </w:tc>
        <w:tc>
          <w:tcPr>
            <w:tcW w:w="0" w:type="auto"/>
            <w:hideMark/>
          </w:tcPr>
          <w:p w14:paraId="7E1BA846"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Keteladanan sejarah belum sepenuhnya menjadi perilaku kontemporer</w:t>
            </w:r>
          </w:p>
        </w:tc>
      </w:tr>
      <w:tr w:rsidR="00BE412A" w:rsidRPr="008F78FE" w14:paraId="28428408" w14:textId="77777777" w:rsidTr="009E430E">
        <w:tc>
          <w:tcPr>
            <w:tcW w:w="0" w:type="auto"/>
            <w:hideMark/>
          </w:tcPr>
          <w:p w14:paraId="3406401A"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Internalisasi</w:t>
            </w:r>
            <w:proofErr w:type="spellEnd"/>
          </w:p>
        </w:tc>
        <w:tc>
          <w:tcPr>
            <w:tcW w:w="0" w:type="auto"/>
            <w:hideMark/>
          </w:tcPr>
          <w:p w14:paraId="6ED5F9F6"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Nilai dikaitkan dengan karakter dan tanggung jawab</w:t>
            </w:r>
          </w:p>
        </w:tc>
        <w:tc>
          <w:tcPr>
            <w:tcW w:w="0" w:type="auto"/>
            <w:hideMark/>
          </w:tcPr>
          <w:p w14:paraId="21E34E60"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Pengetahuan belum selalu berubah menjadi tindakan</w:t>
            </w:r>
          </w:p>
        </w:tc>
      </w:tr>
      <w:tr w:rsidR="00BE412A" w:rsidRPr="008F78FE" w14:paraId="0EF0D2C8" w14:textId="77777777" w:rsidTr="009E430E">
        <w:tc>
          <w:tcPr>
            <w:tcW w:w="0" w:type="auto"/>
            <w:hideMark/>
          </w:tcPr>
          <w:p w14:paraId="1ACFE181"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Praktik</w:t>
            </w:r>
            <w:proofErr w:type="spellEnd"/>
          </w:p>
        </w:tc>
        <w:tc>
          <w:tcPr>
            <w:tcW w:w="0" w:type="auto"/>
            <w:hideMark/>
          </w:tcPr>
          <w:p w14:paraId="340AC6FD"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Norma menyediakan dasar bagi integritas, gotong royong, stewardship</w:t>
            </w:r>
          </w:p>
        </w:tc>
        <w:tc>
          <w:tcPr>
            <w:tcW w:w="0" w:type="auto"/>
            <w:hideMark/>
          </w:tcPr>
          <w:p w14:paraId="1C80A96F"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Praktik eksploitasi dan kepentingan jangka pendek menunjukkan adanya jarak antara norma dan perilaku</w:t>
            </w:r>
          </w:p>
        </w:tc>
      </w:tr>
      <w:tr w:rsidR="00BE412A" w:rsidRPr="008F78FE" w14:paraId="6F328124" w14:textId="77777777" w:rsidTr="009E430E">
        <w:tc>
          <w:tcPr>
            <w:tcW w:w="0" w:type="auto"/>
            <w:hideMark/>
          </w:tcPr>
          <w:p w14:paraId="47D2F2C3" w14:textId="77777777" w:rsidR="00BE412A" w:rsidRPr="008F78FE" w:rsidRDefault="00BE412A" w:rsidP="009E430E">
            <w:pPr>
              <w:rPr>
                <w:rFonts w:ascii="Times New Roman" w:hAnsi="Times New Roman" w:cs="Times New Roman"/>
                <w:sz w:val="18"/>
                <w:szCs w:val="18"/>
              </w:rPr>
            </w:pPr>
            <w:proofErr w:type="spellStart"/>
            <w:r w:rsidRPr="008F78FE">
              <w:rPr>
                <w:rFonts w:ascii="Times New Roman" w:hAnsi="Times New Roman" w:cs="Times New Roman"/>
                <w:sz w:val="18"/>
                <w:szCs w:val="18"/>
              </w:rPr>
              <w:t>Reproduksi</w:t>
            </w:r>
            <w:proofErr w:type="spellEnd"/>
            <w:r w:rsidRPr="008F78FE">
              <w:rPr>
                <w:rFonts w:ascii="Times New Roman" w:hAnsi="Times New Roman" w:cs="Times New Roman"/>
                <w:sz w:val="18"/>
                <w:szCs w:val="18"/>
              </w:rPr>
              <w:t xml:space="preserve"> </w:t>
            </w:r>
            <w:proofErr w:type="spellStart"/>
            <w:r w:rsidRPr="008F78FE">
              <w:rPr>
                <w:rFonts w:ascii="Times New Roman" w:hAnsi="Times New Roman" w:cs="Times New Roman"/>
                <w:sz w:val="18"/>
                <w:szCs w:val="18"/>
              </w:rPr>
              <w:t>antargenerasi</w:t>
            </w:r>
            <w:proofErr w:type="spellEnd"/>
          </w:p>
        </w:tc>
        <w:tc>
          <w:tcPr>
            <w:tcW w:w="0" w:type="auto"/>
            <w:hideMark/>
          </w:tcPr>
          <w:p w14:paraId="02B7EDD9"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Institusi budaya masih menjalankan fungsi pendidikan</w:t>
            </w:r>
          </w:p>
        </w:tc>
        <w:tc>
          <w:tcPr>
            <w:tcW w:w="0" w:type="auto"/>
            <w:hideMark/>
          </w:tcPr>
          <w:p w14:paraId="652C4A7D" w14:textId="77777777" w:rsidR="00BE412A" w:rsidRPr="00450343" w:rsidRDefault="00BE412A" w:rsidP="009E430E">
            <w:pPr>
              <w:rPr>
                <w:rFonts w:ascii="Times New Roman" w:hAnsi="Times New Roman" w:cs="Times New Roman"/>
                <w:sz w:val="18"/>
                <w:szCs w:val="18"/>
                <w:lang w:val="sv-SE"/>
              </w:rPr>
            </w:pPr>
            <w:r w:rsidRPr="00450343">
              <w:rPr>
                <w:rFonts w:ascii="Times New Roman" w:hAnsi="Times New Roman" w:cs="Times New Roman"/>
                <w:sz w:val="18"/>
                <w:szCs w:val="18"/>
                <w:lang w:val="sv-SE"/>
              </w:rPr>
              <w:t>Digitalisasi dan perubahan gaya hidup mengubah cara generasi muda berinteraksi dengan warisan budaya</w:t>
            </w:r>
          </w:p>
        </w:tc>
      </w:tr>
    </w:tbl>
    <w:p w14:paraId="7F9129DA" w14:textId="77777777" w:rsidR="00BE412A" w:rsidRPr="008E0AE3" w:rsidRDefault="00BE412A" w:rsidP="00BE412A">
      <w:pPr>
        <w:spacing w:after="0" w:line="240" w:lineRule="auto"/>
        <w:rPr>
          <w:rFonts w:ascii="Times New Roman" w:hAnsi="Times New Roman" w:cs="Times New Roman"/>
        </w:rPr>
      </w:pPr>
    </w:p>
    <w:p w14:paraId="7EFF800F" w14:textId="77777777" w:rsidR="00BE412A" w:rsidRPr="008E0AE3" w:rsidRDefault="00BE412A" w:rsidP="00BE412A">
      <w:pPr>
        <w:spacing w:after="0" w:line="240" w:lineRule="auto"/>
        <w:ind w:firstLine="709"/>
        <w:jc w:val="both"/>
        <w:rPr>
          <w:rFonts w:ascii="Times New Roman" w:hAnsi="Times New Roman" w:cs="Times New Roman"/>
        </w:rPr>
      </w:pPr>
      <w:r w:rsidRPr="008E0AE3">
        <w:rPr>
          <w:rFonts w:ascii="Times New Roman" w:hAnsi="Times New Roman" w:cs="Times New Roman"/>
        </w:rPr>
        <w:t xml:space="preserve">Di situ terlihat adanya ketegangan antara ketersediaan nilai dan kapasitas untuk mereproduksinya sebagai norma yang hidup. Ini merupakan temuan penting karena menandakan bahwa generasi saat ini relatif memiliki pengetahuan mengenai nilai kejuangan, tetapi penghayatan dan penerapannya dalam tindakan masih menghadapi tantangan. Temuan mengenai Sultan Syarif Kasim II memperlihatkan secara jelas bahwa transmisi keteladanan dan aktualisasi perilaku merupakan dua tahap yang berbeda. Data sejarah menyediakan contoh tindakan yang kuat: pengalihan wilayah kepada Republik Indonesia, pengorbanan kekayaan kerajaan, prioritas pada kepentingan nasional, dan dukungan terhadap pendidikan. Nilai tersebut kemudian dipahami sebagai sumber inspirasi bagi kepemimpinan kontemporer. Namun, Keteladanan sejarah belum </w:t>
      </w:r>
      <w:r w:rsidRPr="008E0AE3">
        <w:rPr>
          <w:rFonts w:ascii="Times New Roman" w:hAnsi="Times New Roman" w:cs="Times New Roman"/>
        </w:rPr>
        <w:lastRenderedPageBreak/>
        <w:t xml:space="preserve">sepenuhnya diinternalisasi menjadi perilaku konkret dalam pengelolaan sumber daya strategis. Temuan ini penting karena menunjukkan adanya mata rantai yang tidak otomatis: </w:t>
      </w:r>
      <w:proofErr w:type="spellStart"/>
      <w:r w:rsidRPr="008E0AE3">
        <w:rPr>
          <w:rFonts w:ascii="Times New Roman" w:hAnsi="Times New Roman" w:cs="Times New Roman"/>
          <w:i/>
          <w:iCs/>
        </w:rPr>
        <w:t>historical</w:t>
      </w:r>
      <w:proofErr w:type="spellEnd"/>
      <w:r w:rsidRPr="008E0AE3">
        <w:rPr>
          <w:rFonts w:ascii="Times New Roman" w:hAnsi="Times New Roman" w:cs="Times New Roman"/>
          <w:i/>
          <w:iCs/>
        </w:rPr>
        <w:t xml:space="preserve"> </w:t>
      </w:r>
      <w:proofErr w:type="spellStart"/>
      <w:r w:rsidRPr="008E0AE3">
        <w:rPr>
          <w:rFonts w:ascii="Times New Roman" w:hAnsi="Times New Roman" w:cs="Times New Roman"/>
          <w:i/>
          <w:iCs/>
        </w:rPr>
        <w:t>example</w:t>
      </w:r>
      <w:proofErr w:type="spellEnd"/>
      <w:r w:rsidRPr="008E0AE3">
        <w:rPr>
          <w:rFonts w:ascii="Times New Roman" w:hAnsi="Times New Roman" w:cs="Times New Roman"/>
          <w:i/>
          <w:iCs/>
        </w:rPr>
        <w:t xml:space="preserve"> ≠ </w:t>
      </w:r>
      <w:proofErr w:type="spellStart"/>
      <w:r w:rsidRPr="008E0AE3">
        <w:rPr>
          <w:rFonts w:ascii="Times New Roman" w:hAnsi="Times New Roman" w:cs="Times New Roman"/>
          <w:i/>
          <w:iCs/>
        </w:rPr>
        <w:t>internalised</w:t>
      </w:r>
      <w:proofErr w:type="spellEnd"/>
      <w:r w:rsidRPr="008E0AE3">
        <w:rPr>
          <w:rFonts w:ascii="Times New Roman" w:hAnsi="Times New Roman" w:cs="Times New Roman"/>
          <w:i/>
          <w:iCs/>
        </w:rPr>
        <w:t xml:space="preserve"> </w:t>
      </w:r>
      <w:proofErr w:type="spellStart"/>
      <w:r w:rsidRPr="008E0AE3">
        <w:rPr>
          <w:rFonts w:ascii="Times New Roman" w:hAnsi="Times New Roman" w:cs="Times New Roman"/>
          <w:i/>
          <w:iCs/>
        </w:rPr>
        <w:t>norm</w:t>
      </w:r>
      <w:proofErr w:type="spellEnd"/>
      <w:r w:rsidRPr="008E0AE3">
        <w:rPr>
          <w:rFonts w:ascii="Times New Roman" w:hAnsi="Times New Roman" w:cs="Times New Roman"/>
          <w:i/>
          <w:iCs/>
        </w:rPr>
        <w:t xml:space="preserve"> ≠ </w:t>
      </w:r>
      <w:proofErr w:type="spellStart"/>
      <w:r w:rsidRPr="008E0AE3">
        <w:rPr>
          <w:rFonts w:ascii="Times New Roman" w:hAnsi="Times New Roman" w:cs="Times New Roman"/>
          <w:i/>
          <w:iCs/>
        </w:rPr>
        <w:t>governance</w:t>
      </w:r>
      <w:proofErr w:type="spellEnd"/>
      <w:r w:rsidRPr="008E0AE3">
        <w:rPr>
          <w:rFonts w:ascii="Times New Roman" w:hAnsi="Times New Roman" w:cs="Times New Roman"/>
          <w:i/>
          <w:iCs/>
        </w:rPr>
        <w:t xml:space="preserve"> </w:t>
      </w:r>
      <w:proofErr w:type="spellStart"/>
      <w:r w:rsidRPr="008E0AE3">
        <w:rPr>
          <w:rFonts w:ascii="Times New Roman" w:hAnsi="Times New Roman" w:cs="Times New Roman"/>
          <w:i/>
          <w:iCs/>
        </w:rPr>
        <w:t>practice</w:t>
      </w:r>
      <w:proofErr w:type="spellEnd"/>
      <w:r w:rsidRPr="008E0AE3">
        <w:rPr>
          <w:rFonts w:ascii="Times New Roman" w:hAnsi="Times New Roman" w:cs="Times New Roman"/>
          <w:i/>
          <w:iCs/>
        </w:rPr>
        <w:t>.</w:t>
      </w:r>
    </w:p>
    <w:p w14:paraId="2AE0C6FF" w14:textId="77777777" w:rsidR="00BE412A" w:rsidRPr="008E0AE3" w:rsidRDefault="00BE412A" w:rsidP="00BE412A">
      <w:pPr>
        <w:spacing w:after="0" w:line="240" w:lineRule="auto"/>
        <w:ind w:firstLine="709"/>
        <w:jc w:val="both"/>
        <w:rPr>
          <w:rFonts w:ascii="Times New Roman" w:hAnsi="Times New Roman" w:cs="Times New Roman"/>
        </w:rPr>
      </w:pPr>
      <w:r w:rsidRPr="008E0AE3">
        <w:rPr>
          <w:rFonts w:ascii="Times New Roman" w:hAnsi="Times New Roman" w:cs="Times New Roman"/>
        </w:rPr>
        <w:t>Keteladanan harus melewati proses interpretasi dan internalisasi sebelum dapat menjadi pedoman tindakan. Dengan kata lain, sejarah menyediakan bahan bagi pembentukan norma, tetapi tidak dengan sendirinya menghasilkan kepatuhan terhadap norma. Hal yang sama tampak pada fungsi Museum Sang Nila Utama. Artefak, naskah kuno, dan dokumentasi sejarah menyediakan bahan untuk membangun identitas dan kesadaran sejarah, hanya saja efektivitasnya sebagai mekanisme internalisasi bergantung pada kemampuan museum untuk menjangkau generasi yang hidup dalam lingkungan informasi digital. Dengan demikian, masalah empiris utama bukan kekurangan warisan nilai. Warisan tersebut masih tersedia. Masalahnya adalah kemampuan institusi untuk mengubah warisan tersebut menjadi orientasi tindakan yang bertahan lintas generasi.</w:t>
      </w:r>
    </w:p>
    <w:p w14:paraId="0C3EEEBF" w14:textId="77777777" w:rsidR="00BE412A" w:rsidRPr="008E0AE3" w:rsidRDefault="00BE412A" w:rsidP="00BE412A">
      <w:pPr>
        <w:spacing w:after="0" w:line="240" w:lineRule="auto"/>
        <w:rPr>
          <w:rFonts w:ascii="Times New Roman" w:hAnsi="Times New Roman" w:cs="Times New Roman"/>
        </w:rPr>
      </w:pPr>
    </w:p>
    <w:p w14:paraId="6559BB26" w14:textId="77777777" w:rsidR="00BE412A" w:rsidRPr="008F78FE" w:rsidRDefault="00BE412A" w:rsidP="003B78DF">
      <w:pPr>
        <w:spacing w:after="0" w:line="240" w:lineRule="auto"/>
        <w:jc w:val="both"/>
        <w:rPr>
          <w:rFonts w:ascii="Times New Roman" w:hAnsi="Times New Roman" w:cs="Times New Roman"/>
          <w:b/>
          <w:bCs/>
          <w:i/>
          <w:iCs/>
        </w:rPr>
      </w:pPr>
      <w:r w:rsidRPr="008F78FE">
        <w:rPr>
          <w:rFonts w:ascii="Times New Roman" w:hAnsi="Times New Roman" w:cs="Times New Roman"/>
          <w:b/>
          <w:bCs/>
          <w:i/>
          <w:iCs/>
        </w:rPr>
        <w:t>Sintesis Temuan: Budaya Bekerja melalui Rantai Institusional, Bukan melalui Nilai Secara Langsung</w:t>
      </w:r>
    </w:p>
    <w:p w14:paraId="3E6D8FA0" w14:textId="77777777" w:rsidR="00BE412A" w:rsidRPr="00CC1383" w:rsidRDefault="00BE412A" w:rsidP="003B78DF">
      <w:pPr>
        <w:spacing w:after="0" w:line="240" w:lineRule="auto"/>
        <w:ind w:firstLine="709"/>
        <w:jc w:val="both"/>
        <w:rPr>
          <w:rFonts w:ascii="Times New Roman" w:hAnsi="Times New Roman" w:cs="Times New Roman"/>
        </w:rPr>
      </w:pPr>
      <w:r w:rsidRPr="00CC1383">
        <w:rPr>
          <w:rFonts w:ascii="Times New Roman" w:hAnsi="Times New Roman" w:cs="Times New Roman"/>
        </w:rPr>
        <w:t xml:space="preserve">Membaca seluruh korpus secara utuh mengungkapkan pola yang jauh lebih jelas daripada </w:t>
      </w:r>
      <w:r w:rsidRPr="008E0AE3">
        <w:rPr>
          <w:rFonts w:ascii="Times New Roman" w:hAnsi="Times New Roman" w:cs="Times New Roman"/>
        </w:rPr>
        <w:t>sebelumnya</w:t>
      </w:r>
      <w:r w:rsidRPr="00CC1383">
        <w:rPr>
          <w:rFonts w:ascii="Times New Roman" w:hAnsi="Times New Roman" w:cs="Times New Roman"/>
        </w:rPr>
        <w:t>. Pola ini memetakan bagaimana nilai-nilai warisan</w:t>
      </w:r>
      <w:r w:rsidRPr="008E0AE3">
        <w:rPr>
          <w:rFonts w:ascii="Times New Roman" w:hAnsi="Times New Roman" w:cs="Times New Roman"/>
        </w:rPr>
        <w:t xml:space="preserve"> </w:t>
      </w:r>
      <w:r w:rsidRPr="00CC1383">
        <w:rPr>
          <w:rFonts w:ascii="Times New Roman" w:hAnsi="Times New Roman" w:cs="Times New Roman"/>
        </w:rPr>
        <w:t>seperti amanah, integritas, gotong royong, dan kepedulian lingkungan</w:t>
      </w:r>
      <w:r w:rsidRPr="008E0AE3">
        <w:rPr>
          <w:rFonts w:ascii="Times New Roman" w:hAnsi="Times New Roman" w:cs="Times New Roman"/>
        </w:rPr>
        <w:t xml:space="preserve"> </w:t>
      </w:r>
      <w:r w:rsidRPr="00CC1383">
        <w:rPr>
          <w:rFonts w:ascii="Times New Roman" w:hAnsi="Times New Roman" w:cs="Times New Roman"/>
        </w:rPr>
        <w:t>diaktualisasikan. Nilai-nilai tersebut disalurkan melalui tiga institusi</w:t>
      </w:r>
      <w:r w:rsidRPr="008E0AE3">
        <w:rPr>
          <w:rFonts w:ascii="Times New Roman" w:hAnsi="Times New Roman" w:cs="Times New Roman"/>
        </w:rPr>
        <w:t>, yaitu</w:t>
      </w:r>
      <w:r w:rsidRPr="00CC1383">
        <w:rPr>
          <w:rFonts w:ascii="Times New Roman" w:hAnsi="Times New Roman" w:cs="Times New Roman"/>
        </w:rPr>
        <w:t xml:space="preserve"> LAMR melalui pembinaan adat, Istana Siak melalui keteladanan sejarah, dan Museum melalui dokumentasi. Melalui saluran ini, nilai-nilai itu diinternalisasi menjadi ekspektasi perilaku, yang kemudian </w:t>
      </w:r>
      <w:r w:rsidRPr="008E0AE3">
        <w:rPr>
          <w:rFonts w:ascii="Times New Roman" w:hAnsi="Times New Roman" w:cs="Times New Roman"/>
        </w:rPr>
        <w:t>terealisasi</w:t>
      </w:r>
      <w:r w:rsidRPr="00CC1383">
        <w:rPr>
          <w:rFonts w:ascii="Times New Roman" w:hAnsi="Times New Roman" w:cs="Times New Roman"/>
        </w:rPr>
        <w:t xml:space="preserve"> dalam praktik tata kelola seperti akuntabilitas, kerja sama, dan pengambilan keputusan yang bertanggung jawab. </w:t>
      </w:r>
      <w:r w:rsidRPr="008E0AE3">
        <w:rPr>
          <w:rFonts w:ascii="Times New Roman" w:hAnsi="Times New Roman" w:cs="Times New Roman"/>
        </w:rPr>
        <w:t>P</w:t>
      </w:r>
      <w:r w:rsidRPr="00CC1383">
        <w:rPr>
          <w:rFonts w:ascii="Times New Roman" w:hAnsi="Times New Roman" w:cs="Times New Roman"/>
        </w:rPr>
        <w:t>raktik ini diharapkan mendukung ketahanan energi.</w:t>
      </w:r>
    </w:p>
    <w:p w14:paraId="0C2BB968" w14:textId="77777777" w:rsidR="00BE412A" w:rsidRDefault="00BE412A" w:rsidP="00BE412A">
      <w:pPr>
        <w:spacing w:after="0" w:line="240" w:lineRule="auto"/>
        <w:ind w:firstLine="709"/>
        <w:jc w:val="both"/>
        <w:rPr>
          <w:rFonts w:ascii="Times New Roman" w:hAnsi="Times New Roman" w:cs="Times New Roman"/>
        </w:rPr>
      </w:pPr>
      <w:r w:rsidRPr="00CC1383">
        <w:rPr>
          <w:rFonts w:ascii="Times New Roman" w:hAnsi="Times New Roman" w:cs="Times New Roman"/>
        </w:rPr>
        <w:t xml:space="preserve">Namun, rantai </w:t>
      </w:r>
      <w:r w:rsidRPr="008E0AE3">
        <w:rPr>
          <w:rFonts w:ascii="Times New Roman" w:hAnsi="Times New Roman" w:cs="Times New Roman"/>
        </w:rPr>
        <w:t>tersebut</w:t>
      </w:r>
      <w:r w:rsidRPr="00CC1383">
        <w:rPr>
          <w:rFonts w:ascii="Times New Roman" w:hAnsi="Times New Roman" w:cs="Times New Roman"/>
        </w:rPr>
        <w:t xml:space="preserve"> </w:t>
      </w:r>
      <w:r w:rsidRPr="008E0AE3">
        <w:rPr>
          <w:rFonts w:ascii="Times New Roman" w:hAnsi="Times New Roman" w:cs="Times New Roman"/>
        </w:rPr>
        <w:t>rentan</w:t>
      </w:r>
      <w:r w:rsidRPr="00CC1383">
        <w:rPr>
          <w:rFonts w:ascii="Times New Roman" w:hAnsi="Times New Roman" w:cs="Times New Roman"/>
        </w:rPr>
        <w:t xml:space="preserve"> putus di tengah jalan. Arus globalisasi, perubahan gaya hidup, dan digitalisasi telah melemahkan transmisi </w:t>
      </w:r>
      <w:proofErr w:type="spellStart"/>
      <w:r w:rsidRPr="00CC1383">
        <w:rPr>
          <w:rFonts w:ascii="Times New Roman" w:hAnsi="Times New Roman" w:cs="Times New Roman"/>
        </w:rPr>
        <w:t>antargenerasi</w:t>
      </w:r>
      <w:proofErr w:type="spellEnd"/>
      <w:r w:rsidRPr="008E0AE3">
        <w:rPr>
          <w:rFonts w:ascii="Times New Roman" w:hAnsi="Times New Roman" w:cs="Times New Roman"/>
        </w:rPr>
        <w:t xml:space="preserve"> sehingga, </w:t>
      </w:r>
      <w:r w:rsidRPr="00CC1383">
        <w:rPr>
          <w:rFonts w:ascii="Times New Roman" w:hAnsi="Times New Roman" w:cs="Times New Roman"/>
        </w:rPr>
        <w:t xml:space="preserve">meskipun nilai-nilai budaya masih dijaga oleh ketiga institusi tersebut, nilai-nilai ini tidak lagi sepenuhnya terinternalisasi oleh generasi penerus. Terjadi kesenjangan </w:t>
      </w:r>
      <w:r w:rsidRPr="008E0AE3">
        <w:rPr>
          <w:rFonts w:ascii="Times New Roman" w:hAnsi="Times New Roman" w:cs="Times New Roman"/>
        </w:rPr>
        <w:t>yang cukup mencolok</w:t>
      </w:r>
      <w:r w:rsidRPr="00CC1383">
        <w:rPr>
          <w:rFonts w:ascii="Times New Roman" w:hAnsi="Times New Roman" w:cs="Times New Roman"/>
        </w:rPr>
        <w:t xml:space="preserve"> </w:t>
      </w:r>
      <w:r w:rsidRPr="00CC1383">
        <w:rPr>
          <w:rFonts w:ascii="Times New Roman" w:hAnsi="Times New Roman" w:cs="Times New Roman"/>
        </w:rPr>
        <w:t>antara mengetahui nilai dan menerapkannya dalam tindakan.</w:t>
      </w:r>
      <w:r w:rsidRPr="008E0AE3">
        <w:rPr>
          <w:rFonts w:ascii="Times New Roman" w:hAnsi="Times New Roman" w:cs="Times New Roman"/>
        </w:rPr>
        <w:t xml:space="preserve"> </w:t>
      </w:r>
      <w:r w:rsidRPr="00CC1383">
        <w:rPr>
          <w:rFonts w:ascii="Times New Roman" w:hAnsi="Times New Roman" w:cs="Times New Roman"/>
        </w:rPr>
        <w:t xml:space="preserve">Kondisi ini mengubah cara kita memahami hubungan antara budaya dan ketahanan energi. Budaya bukanlah </w:t>
      </w:r>
      <w:r w:rsidRPr="008E0AE3">
        <w:rPr>
          <w:rFonts w:ascii="Times New Roman" w:hAnsi="Times New Roman" w:cs="Times New Roman"/>
        </w:rPr>
        <w:t>“</w:t>
      </w:r>
      <w:r w:rsidRPr="00CC1383">
        <w:rPr>
          <w:rFonts w:ascii="Times New Roman" w:hAnsi="Times New Roman" w:cs="Times New Roman"/>
        </w:rPr>
        <w:t>faktor</w:t>
      </w:r>
      <w:r w:rsidRPr="008E0AE3">
        <w:rPr>
          <w:rFonts w:ascii="Times New Roman" w:hAnsi="Times New Roman" w:cs="Times New Roman"/>
        </w:rPr>
        <w:t>”</w:t>
      </w:r>
      <w:r w:rsidRPr="00CC1383">
        <w:rPr>
          <w:rFonts w:ascii="Times New Roman" w:hAnsi="Times New Roman" w:cs="Times New Roman"/>
        </w:rPr>
        <w:t xml:space="preserve"> yang secara otomatis meningkatkan ketahanan energi. Sebaliknya, budaya adalah sumber norma. Agar dapat memengaruhi tata kelola dan memperkuat ketahanan energi, norma-norma ini harus berhasil ditransmisikan dan </w:t>
      </w:r>
      <w:proofErr w:type="spellStart"/>
      <w:r w:rsidRPr="00CC1383">
        <w:rPr>
          <w:rFonts w:ascii="Times New Roman" w:hAnsi="Times New Roman" w:cs="Times New Roman"/>
        </w:rPr>
        <w:t>diinstitusionalisasikan</w:t>
      </w:r>
      <w:proofErr w:type="spellEnd"/>
      <w:r w:rsidRPr="00CC1383">
        <w:rPr>
          <w:rFonts w:ascii="Times New Roman" w:hAnsi="Times New Roman" w:cs="Times New Roman"/>
        </w:rPr>
        <w:t xml:space="preserve"> ke dalam tindakan nyata.</w:t>
      </w:r>
    </w:p>
    <w:p w14:paraId="04747AD0" w14:textId="77777777" w:rsidR="00BE412A" w:rsidRDefault="00BE412A" w:rsidP="00BE412A">
      <w:pPr>
        <w:spacing w:after="0" w:line="240" w:lineRule="auto"/>
        <w:jc w:val="both"/>
        <w:rPr>
          <w:rFonts w:ascii="Times New Roman" w:hAnsi="Times New Roman" w:cs="Times New Roman"/>
        </w:rPr>
      </w:pPr>
    </w:p>
    <w:p w14:paraId="0398419A" w14:textId="77777777" w:rsidR="00BE412A" w:rsidRPr="003B78DF" w:rsidRDefault="00BE412A" w:rsidP="00BE412A">
      <w:pPr>
        <w:spacing w:after="0" w:line="240" w:lineRule="auto"/>
        <w:jc w:val="both"/>
        <w:rPr>
          <w:rFonts w:ascii="Times New Roman" w:hAnsi="Times New Roman" w:cs="Times New Roman"/>
          <w:b/>
          <w:bCs/>
          <w:color w:val="833C0B" w:themeColor="accent2" w:themeShade="80"/>
        </w:rPr>
      </w:pPr>
      <w:r w:rsidRPr="003B78DF">
        <w:rPr>
          <w:rFonts w:ascii="Times New Roman" w:hAnsi="Times New Roman" w:cs="Times New Roman"/>
          <w:b/>
          <w:bCs/>
          <w:color w:val="833C0B" w:themeColor="accent2" w:themeShade="80"/>
        </w:rPr>
        <w:t>Pembahasan</w:t>
      </w:r>
    </w:p>
    <w:p w14:paraId="031961BA" w14:textId="77777777" w:rsidR="00BE412A" w:rsidRPr="00450343" w:rsidRDefault="00BE412A" w:rsidP="003B78DF">
      <w:pPr>
        <w:spacing w:after="0" w:line="240" w:lineRule="auto"/>
        <w:ind w:firstLine="720"/>
        <w:jc w:val="both"/>
        <w:rPr>
          <w:rFonts w:ascii="Times New Roman" w:hAnsi="Times New Roman" w:cs="Times New Roman"/>
          <w:lang w:val="sv-SE"/>
        </w:rPr>
      </w:pPr>
      <w:r w:rsidRPr="00450343">
        <w:rPr>
          <w:rFonts w:ascii="Times New Roman" w:hAnsi="Times New Roman" w:cs="Times New Roman"/>
          <w:lang w:val="sv-SE"/>
        </w:rPr>
        <w:t>Penelitian ini menemukan bahwa nilai budaya tidak secara otomatis menghasilkan ketahanan energi. Nilai-nilai seperti amanah, integritas, musyawarah gotong royong, tanggung jawab, dan kepedulian lingkungan baru berdampak pada tata kelola jika berhasil ditransmisikan, diterima sebagai norma bersama, dan dipraktikkan secara nyata. Dengan kata lain, mekanisme yang menghubungkan budaya dan ketahanan energi berjalan melalui tiga tahap: transmisi norma, institusionalisasi informal, dan praktik tata kelola. Dalam proses ini, tiga institusi memainkan peran yang saling melengkapi: Lembaga Adat Melayu Riau (LAMR) berfungsi merawat dan menyalurkan norma, Istana Siak Sri Indrapura menyediakan contoh nyata penerapan nilai dalam kepemimpinan, dan Museum Sang Nila Utama menjembatani memori sejarah dengan kesadaran generasi penerus.</w:t>
      </w:r>
    </w:p>
    <w:p w14:paraId="7FC6D98F" w14:textId="77777777" w:rsidR="00BE412A" w:rsidRPr="00450343" w:rsidRDefault="00BE412A" w:rsidP="00BE412A">
      <w:pPr>
        <w:spacing w:before="240" w:after="0" w:line="240" w:lineRule="auto"/>
        <w:jc w:val="center"/>
        <w:rPr>
          <w:rFonts w:ascii="Times New Roman" w:hAnsi="Times New Roman" w:cs="Times New Roman"/>
          <w:b/>
          <w:bCs/>
          <w:lang w:val="sv-SE"/>
        </w:rPr>
      </w:pPr>
      <w:r w:rsidRPr="00450343">
        <w:rPr>
          <w:rFonts w:ascii="Times New Roman" w:hAnsi="Times New Roman" w:cs="Times New Roman"/>
          <w:b/>
          <w:bCs/>
          <w:lang w:val="sv-SE"/>
        </w:rPr>
        <w:t>Tabel 6. Mekanisme Penerjemahan Nilai Menjadi Praktik Tata Kelola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81"/>
        <w:gridCol w:w="1173"/>
        <w:gridCol w:w="1138"/>
      </w:tblGrid>
      <w:tr w:rsidR="00BE412A" w:rsidRPr="008E0AE3" w14:paraId="1F14D0CB" w14:textId="77777777" w:rsidTr="003B78DF">
        <w:trPr>
          <w:tblHeader/>
        </w:trPr>
        <w:tc>
          <w:tcPr>
            <w:tcW w:w="0" w:type="auto"/>
            <w:vAlign w:val="center"/>
            <w:hideMark/>
          </w:tcPr>
          <w:p w14:paraId="0A953D9D" w14:textId="77777777" w:rsidR="00BE412A" w:rsidRPr="008E0AE3" w:rsidRDefault="00BE412A" w:rsidP="009E430E">
            <w:pPr>
              <w:jc w:val="center"/>
              <w:rPr>
                <w:rFonts w:ascii="Times New Roman" w:hAnsi="Times New Roman" w:cs="Times New Roman"/>
                <w:b/>
                <w:bCs/>
                <w:sz w:val="20"/>
                <w:szCs w:val="20"/>
              </w:rPr>
            </w:pPr>
            <w:r w:rsidRPr="008E0AE3">
              <w:rPr>
                <w:rFonts w:ascii="Times New Roman" w:hAnsi="Times New Roman" w:cs="Times New Roman"/>
                <w:b/>
                <w:bCs/>
                <w:sz w:val="20"/>
                <w:szCs w:val="20"/>
              </w:rPr>
              <w:t>Tingkat</w:t>
            </w:r>
          </w:p>
        </w:tc>
        <w:tc>
          <w:tcPr>
            <w:tcW w:w="0" w:type="auto"/>
            <w:vAlign w:val="center"/>
            <w:hideMark/>
          </w:tcPr>
          <w:p w14:paraId="1A69616A" w14:textId="77777777" w:rsidR="00BE412A" w:rsidRPr="008E0AE3" w:rsidRDefault="00BE412A" w:rsidP="009E430E">
            <w:pPr>
              <w:jc w:val="center"/>
              <w:rPr>
                <w:rFonts w:ascii="Times New Roman" w:hAnsi="Times New Roman" w:cs="Times New Roman"/>
                <w:b/>
                <w:bCs/>
                <w:sz w:val="20"/>
                <w:szCs w:val="20"/>
              </w:rPr>
            </w:pPr>
            <w:proofErr w:type="spellStart"/>
            <w:r w:rsidRPr="008E0AE3">
              <w:rPr>
                <w:rFonts w:ascii="Times New Roman" w:hAnsi="Times New Roman" w:cs="Times New Roman"/>
                <w:b/>
                <w:bCs/>
                <w:sz w:val="20"/>
                <w:szCs w:val="20"/>
              </w:rPr>
              <w:t>Bentuk</w:t>
            </w:r>
            <w:proofErr w:type="spellEnd"/>
            <w:r w:rsidRPr="008E0AE3">
              <w:rPr>
                <w:rFonts w:ascii="Times New Roman" w:hAnsi="Times New Roman" w:cs="Times New Roman"/>
                <w:b/>
                <w:bCs/>
                <w:sz w:val="20"/>
                <w:szCs w:val="20"/>
              </w:rPr>
              <w:t xml:space="preserve"> </w:t>
            </w:r>
            <w:proofErr w:type="spellStart"/>
            <w:r w:rsidRPr="008E0AE3">
              <w:rPr>
                <w:rFonts w:ascii="Times New Roman" w:hAnsi="Times New Roman" w:cs="Times New Roman"/>
                <w:b/>
                <w:bCs/>
                <w:sz w:val="20"/>
                <w:szCs w:val="20"/>
              </w:rPr>
              <w:t>Empiris</w:t>
            </w:r>
            <w:proofErr w:type="spellEnd"/>
            <w:r w:rsidRPr="008E0AE3">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d</w:t>
            </w:r>
            <w:r w:rsidRPr="008E0AE3">
              <w:rPr>
                <w:rFonts w:ascii="Times New Roman" w:hAnsi="Times New Roman" w:cs="Times New Roman"/>
                <w:b/>
                <w:bCs/>
                <w:sz w:val="20"/>
                <w:szCs w:val="20"/>
              </w:rPr>
              <w:t>alam</w:t>
            </w:r>
            <w:proofErr w:type="spellEnd"/>
            <w:r w:rsidRPr="008E0AE3">
              <w:rPr>
                <w:rFonts w:ascii="Times New Roman" w:hAnsi="Times New Roman" w:cs="Times New Roman"/>
                <w:b/>
                <w:bCs/>
                <w:sz w:val="20"/>
                <w:szCs w:val="20"/>
              </w:rPr>
              <w:t xml:space="preserve"> </w:t>
            </w:r>
            <w:proofErr w:type="spellStart"/>
            <w:r w:rsidRPr="008E0AE3">
              <w:rPr>
                <w:rFonts w:ascii="Times New Roman" w:hAnsi="Times New Roman" w:cs="Times New Roman"/>
                <w:b/>
                <w:bCs/>
                <w:sz w:val="20"/>
                <w:szCs w:val="20"/>
              </w:rPr>
              <w:t>Kasus</w:t>
            </w:r>
            <w:proofErr w:type="spellEnd"/>
            <w:r w:rsidRPr="008E0AE3">
              <w:rPr>
                <w:rFonts w:ascii="Times New Roman" w:hAnsi="Times New Roman" w:cs="Times New Roman"/>
                <w:b/>
                <w:bCs/>
                <w:sz w:val="20"/>
                <w:szCs w:val="20"/>
              </w:rPr>
              <w:t xml:space="preserve"> Riau</w:t>
            </w:r>
          </w:p>
        </w:tc>
        <w:tc>
          <w:tcPr>
            <w:tcW w:w="0" w:type="auto"/>
            <w:vAlign w:val="center"/>
            <w:hideMark/>
          </w:tcPr>
          <w:p w14:paraId="57CAEDE2" w14:textId="77777777" w:rsidR="00BE412A" w:rsidRPr="008E0AE3" w:rsidRDefault="00BE412A" w:rsidP="009E430E">
            <w:pPr>
              <w:jc w:val="center"/>
              <w:rPr>
                <w:rFonts w:ascii="Times New Roman" w:hAnsi="Times New Roman" w:cs="Times New Roman"/>
                <w:b/>
                <w:bCs/>
                <w:sz w:val="20"/>
                <w:szCs w:val="20"/>
              </w:rPr>
            </w:pPr>
            <w:proofErr w:type="spellStart"/>
            <w:r w:rsidRPr="008E0AE3">
              <w:rPr>
                <w:rFonts w:ascii="Times New Roman" w:hAnsi="Times New Roman" w:cs="Times New Roman"/>
                <w:b/>
                <w:bCs/>
                <w:sz w:val="20"/>
                <w:szCs w:val="20"/>
              </w:rPr>
              <w:t>Fungsi</w:t>
            </w:r>
            <w:proofErr w:type="spellEnd"/>
            <w:r w:rsidRPr="008E0AE3">
              <w:rPr>
                <w:rFonts w:ascii="Times New Roman" w:hAnsi="Times New Roman" w:cs="Times New Roman"/>
                <w:b/>
                <w:bCs/>
                <w:sz w:val="20"/>
                <w:szCs w:val="20"/>
              </w:rPr>
              <w:t xml:space="preserve"> </w:t>
            </w:r>
            <w:proofErr w:type="spellStart"/>
            <w:r w:rsidRPr="008E0AE3">
              <w:rPr>
                <w:rFonts w:ascii="Times New Roman" w:hAnsi="Times New Roman" w:cs="Times New Roman"/>
                <w:b/>
                <w:bCs/>
                <w:sz w:val="20"/>
                <w:szCs w:val="20"/>
              </w:rPr>
              <w:t>Analitis</w:t>
            </w:r>
            <w:proofErr w:type="spellEnd"/>
          </w:p>
        </w:tc>
      </w:tr>
      <w:tr w:rsidR="00BE412A" w:rsidRPr="008E0AE3" w14:paraId="01C50B97" w14:textId="77777777" w:rsidTr="009E430E">
        <w:tc>
          <w:tcPr>
            <w:tcW w:w="0" w:type="auto"/>
            <w:hideMark/>
          </w:tcPr>
          <w:p w14:paraId="7C9ABF7A" w14:textId="77777777" w:rsidR="00BE412A" w:rsidRPr="008E0AE3" w:rsidRDefault="00BE412A" w:rsidP="009E430E">
            <w:pPr>
              <w:rPr>
                <w:rFonts w:ascii="Times New Roman" w:hAnsi="Times New Roman" w:cs="Times New Roman"/>
                <w:i/>
                <w:iCs/>
                <w:sz w:val="20"/>
                <w:szCs w:val="20"/>
              </w:rPr>
            </w:pPr>
            <w:r w:rsidRPr="008E0AE3">
              <w:rPr>
                <w:rFonts w:ascii="Times New Roman" w:hAnsi="Times New Roman" w:cs="Times New Roman"/>
                <w:i/>
                <w:iCs/>
                <w:sz w:val="20"/>
                <w:szCs w:val="20"/>
              </w:rPr>
              <w:t>Norm transmission</w:t>
            </w:r>
          </w:p>
        </w:tc>
        <w:tc>
          <w:tcPr>
            <w:tcW w:w="0" w:type="auto"/>
            <w:hideMark/>
          </w:tcPr>
          <w:p w14:paraId="57B0B350" w14:textId="77777777" w:rsidR="00BE412A" w:rsidRPr="00450343" w:rsidRDefault="00BE412A" w:rsidP="009E430E">
            <w:pPr>
              <w:rPr>
                <w:rFonts w:ascii="Times New Roman" w:hAnsi="Times New Roman" w:cs="Times New Roman"/>
                <w:sz w:val="20"/>
                <w:szCs w:val="20"/>
                <w:lang w:val="sv-SE"/>
              </w:rPr>
            </w:pPr>
            <w:r w:rsidRPr="00450343">
              <w:rPr>
                <w:rFonts w:ascii="Times New Roman" w:hAnsi="Times New Roman" w:cs="Times New Roman"/>
                <w:sz w:val="20"/>
                <w:szCs w:val="20"/>
                <w:lang w:val="sv-SE"/>
              </w:rPr>
              <w:t>Pembinaan budaya LAMR, pendidikan, sejarah Sultan Syarif Kasim II, artefak dan narasi Museum Sang Nila Utama</w:t>
            </w:r>
          </w:p>
        </w:tc>
        <w:tc>
          <w:tcPr>
            <w:tcW w:w="0" w:type="auto"/>
            <w:hideMark/>
          </w:tcPr>
          <w:p w14:paraId="30DBF7FA" w14:textId="77777777" w:rsidR="00BE412A" w:rsidRPr="008E0AE3" w:rsidRDefault="00BE412A" w:rsidP="009E430E">
            <w:pPr>
              <w:rPr>
                <w:rFonts w:ascii="Times New Roman" w:hAnsi="Times New Roman" w:cs="Times New Roman"/>
                <w:sz w:val="20"/>
                <w:szCs w:val="20"/>
              </w:rPr>
            </w:pPr>
            <w:proofErr w:type="spellStart"/>
            <w:r w:rsidRPr="008E0AE3">
              <w:rPr>
                <w:rFonts w:ascii="Times New Roman" w:hAnsi="Times New Roman" w:cs="Times New Roman"/>
                <w:sz w:val="20"/>
                <w:szCs w:val="20"/>
              </w:rPr>
              <w:t>Menjelaskan</w:t>
            </w:r>
            <w:proofErr w:type="spellEnd"/>
            <w:r w:rsidRPr="008E0AE3">
              <w:rPr>
                <w:rFonts w:ascii="Times New Roman" w:hAnsi="Times New Roman" w:cs="Times New Roman"/>
                <w:sz w:val="20"/>
                <w:szCs w:val="20"/>
              </w:rPr>
              <w:t xml:space="preserve"> </w:t>
            </w:r>
            <w:proofErr w:type="spellStart"/>
            <w:r w:rsidRPr="008E0AE3">
              <w:rPr>
                <w:rFonts w:ascii="Times New Roman" w:hAnsi="Times New Roman" w:cs="Times New Roman"/>
                <w:sz w:val="20"/>
                <w:szCs w:val="20"/>
              </w:rPr>
              <w:t>bagaimana</w:t>
            </w:r>
            <w:proofErr w:type="spellEnd"/>
            <w:r w:rsidRPr="008E0AE3">
              <w:rPr>
                <w:rFonts w:ascii="Times New Roman" w:hAnsi="Times New Roman" w:cs="Times New Roman"/>
                <w:sz w:val="20"/>
                <w:szCs w:val="20"/>
              </w:rPr>
              <w:t xml:space="preserve"> </w:t>
            </w:r>
            <w:proofErr w:type="spellStart"/>
            <w:r w:rsidRPr="008E0AE3">
              <w:rPr>
                <w:rFonts w:ascii="Times New Roman" w:hAnsi="Times New Roman" w:cs="Times New Roman"/>
                <w:sz w:val="20"/>
                <w:szCs w:val="20"/>
              </w:rPr>
              <w:t>nilai</w:t>
            </w:r>
            <w:proofErr w:type="spellEnd"/>
            <w:r w:rsidRPr="008E0AE3">
              <w:rPr>
                <w:rFonts w:ascii="Times New Roman" w:hAnsi="Times New Roman" w:cs="Times New Roman"/>
                <w:sz w:val="20"/>
                <w:szCs w:val="20"/>
              </w:rPr>
              <w:t xml:space="preserve"> </w:t>
            </w:r>
            <w:proofErr w:type="spellStart"/>
            <w:r w:rsidRPr="008E0AE3">
              <w:rPr>
                <w:rFonts w:ascii="Times New Roman" w:hAnsi="Times New Roman" w:cs="Times New Roman"/>
                <w:sz w:val="20"/>
                <w:szCs w:val="20"/>
              </w:rPr>
              <w:t>diwariskan</w:t>
            </w:r>
            <w:proofErr w:type="spellEnd"/>
          </w:p>
        </w:tc>
      </w:tr>
      <w:tr w:rsidR="00BE412A" w:rsidRPr="008E0AE3" w14:paraId="78585377" w14:textId="77777777" w:rsidTr="009E430E">
        <w:tc>
          <w:tcPr>
            <w:tcW w:w="0" w:type="auto"/>
            <w:hideMark/>
          </w:tcPr>
          <w:p w14:paraId="7F5A4431" w14:textId="77777777" w:rsidR="00BE412A" w:rsidRPr="008E0AE3" w:rsidRDefault="00BE412A" w:rsidP="009E430E">
            <w:pPr>
              <w:rPr>
                <w:rFonts w:ascii="Times New Roman" w:hAnsi="Times New Roman" w:cs="Times New Roman"/>
                <w:i/>
                <w:iCs/>
                <w:sz w:val="20"/>
                <w:szCs w:val="20"/>
              </w:rPr>
            </w:pPr>
            <w:r w:rsidRPr="008E0AE3">
              <w:rPr>
                <w:rFonts w:ascii="Times New Roman" w:hAnsi="Times New Roman" w:cs="Times New Roman"/>
                <w:i/>
                <w:iCs/>
                <w:sz w:val="20"/>
                <w:szCs w:val="20"/>
              </w:rPr>
              <w:lastRenderedPageBreak/>
              <w:t xml:space="preserve">Informal </w:t>
            </w:r>
            <w:proofErr w:type="spellStart"/>
            <w:r w:rsidRPr="008E0AE3">
              <w:rPr>
                <w:rFonts w:ascii="Times New Roman" w:hAnsi="Times New Roman" w:cs="Times New Roman"/>
                <w:i/>
                <w:iCs/>
                <w:sz w:val="20"/>
                <w:szCs w:val="20"/>
              </w:rPr>
              <w:t>institutionalisation</w:t>
            </w:r>
            <w:proofErr w:type="spellEnd"/>
          </w:p>
        </w:tc>
        <w:tc>
          <w:tcPr>
            <w:tcW w:w="0" w:type="auto"/>
            <w:hideMark/>
          </w:tcPr>
          <w:p w14:paraId="44F70FAD" w14:textId="77777777" w:rsidR="00BE412A" w:rsidRPr="00450343" w:rsidRDefault="00BE412A" w:rsidP="009E430E">
            <w:pPr>
              <w:rPr>
                <w:rFonts w:ascii="Times New Roman" w:hAnsi="Times New Roman" w:cs="Times New Roman"/>
                <w:sz w:val="20"/>
                <w:szCs w:val="20"/>
                <w:lang w:val="sv-SE"/>
              </w:rPr>
            </w:pPr>
            <w:r w:rsidRPr="00450343">
              <w:rPr>
                <w:rFonts w:ascii="Times New Roman" w:hAnsi="Times New Roman" w:cs="Times New Roman"/>
                <w:sz w:val="20"/>
                <w:szCs w:val="20"/>
                <w:lang w:val="sv-SE"/>
              </w:rPr>
              <w:t>Amanah, musyawarah, gotong royong, tanggung jawab, dan kepedulian lingkungan sebagai ekspektasi perilaku</w:t>
            </w:r>
          </w:p>
        </w:tc>
        <w:tc>
          <w:tcPr>
            <w:tcW w:w="0" w:type="auto"/>
            <w:hideMark/>
          </w:tcPr>
          <w:p w14:paraId="552144C6" w14:textId="77777777" w:rsidR="00BE412A" w:rsidRPr="00450343" w:rsidRDefault="00BE412A" w:rsidP="009E430E">
            <w:pPr>
              <w:rPr>
                <w:rFonts w:ascii="Times New Roman" w:hAnsi="Times New Roman" w:cs="Times New Roman"/>
                <w:sz w:val="20"/>
                <w:szCs w:val="20"/>
                <w:lang w:val="sv-SE"/>
              </w:rPr>
            </w:pPr>
            <w:r w:rsidRPr="00450343">
              <w:rPr>
                <w:rFonts w:ascii="Times New Roman" w:hAnsi="Times New Roman" w:cs="Times New Roman"/>
                <w:sz w:val="20"/>
                <w:szCs w:val="20"/>
                <w:lang w:val="sv-SE"/>
              </w:rPr>
              <w:t>Menjelaskan bagaimana nilai memperoleh daya mengatur</w:t>
            </w:r>
          </w:p>
        </w:tc>
      </w:tr>
      <w:tr w:rsidR="00BE412A" w:rsidRPr="008E0AE3" w14:paraId="428394DB" w14:textId="77777777" w:rsidTr="009E430E">
        <w:tc>
          <w:tcPr>
            <w:tcW w:w="0" w:type="auto"/>
            <w:hideMark/>
          </w:tcPr>
          <w:p w14:paraId="6F86FFE0" w14:textId="77777777" w:rsidR="00BE412A" w:rsidRPr="008E0AE3" w:rsidRDefault="00BE412A" w:rsidP="009E430E">
            <w:pPr>
              <w:rPr>
                <w:rFonts w:ascii="Times New Roman" w:hAnsi="Times New Roman" w:cs="Times New Roman"/>
                <w:i/>
                <w:iCs/>
                <w:sz w:val="20"/>
                <w:szCs w:val="20"/>
              </w:rPr>
            </w:pPr>
            <w:r w:rsidRPr="008E0AE3">
              <w:rPr>
                <w:rFonts w:ascii="Times New Roman" w:hAnsi="Times New Roman" w:cs="Times New Roman"/>
                <w:i/>
                <w:iCs/>
                <w:sz w:val="20"/>
                <w:szCs w:val="20"/>
              </w:rPr>
              <w:t>Governance practice</w:t>
            </w:r>
          </w:p>
        </w:tc>
        <w:tc>
          <w:tcPr>
            <w:tcW w:w="0" w:type="auto"/>
            <w:hideMark/>
          </w:tcPr>
          <w:p w14:paraId="29133A20" w14:textId="77777777" w:rsidR="00BE412A" w:rsidRPr="00450343" w:rsidRDefault="00BE412A" w:rsidP="009E430E">
            <w:pPr>
              <w:rPr>
                <w:rFonts w:ascii="Times New Roman" w:hAnsi="Times New Roman" w:cs="Times New Roman"/>
                <w:sz w:val="20"/>
                <w:szCs w:val="20"/>
                <w:lang w:val="sv-SE"/>
              </w:rPr>
            </w:pPr>
            <w:r w:rsidRPr="00450343">
              <w:rPr>
                <w:rFonts w:ascii="Times New Roman" w:hAnsi="Times New Roman" w:cs="Times New Roman"/>
                <w:sz w:val="20"/>
                <w:szCs w:val="20"/>
                <w:lang w:val="sv-SE"/>
              </w:rPr>
              <w:t>Pengelolaan sumber daya yang bertanggung jawab, kepentingan bersama, pembatasan eksploitasi, kerja kolektif</w:t>
            </w:r>
          </w:p>
        </w:tc>
        <w:tc>
          <w:tcPr>
            <w:tcW w:w="0" w:type="auto"/>
            <w:hideMark/>
          </w:tcPr>
          <w:p w14:paraId="61A999F1" w14:textId="77777777" w:rsidR="00BE412A" w:rsidRPr="00450343" w:rsidRDefault="00BE412A" w:rsidP="009E430E">
            <w:pPr>
              <w:rPr>
                <w:rFonts w:ascii="Times New Roman" w:hAnsi="Times New Roman" w:cs="Times New Roman"/>
                <w:sz w:val="20"/>
                <w:szCs w:val="20"/>
                <w:lang w:val="sv-SE"/>
              </w:rPr>
            </w:pPr>
            <w:r w:rsidRPr="00450343">
              <w:rPr>
                <w:rFonts w:ascii="Times New Roman" w:hAnsi="Times New Roman" w:cs="Times New Roman"/>
                <w:sz w:val="20"/>
                <w:szCs w:val="20"/>
                <w:lang w:val="sv-SE"/>
              </w:rPr>
              <w:t>Menjelaskan bagaimana norma terlihat dalam tindakan</w:t>
            </w:r>
          </w:p>
        </w:tc>
      </w:tr>
    </w:tbl>
    <w:p w14:paraId="4CF27B63" w14:textId="77777777" w:rsidR="00BE412A" w:rsidRPr="00450343" w:rsidRDefault="00BE412A" w:rsidP="00BE412A">
      <w:pPr>
        <w:spacing w:after="0" w:line="240" w:lineRule="auto"/>
        <w:jc w:val="both"/>
        <w:rPr>
          <w:rFonts w:ascii="Times New Roman" w:hAnsi="Times New Roman" w:cs="Times New Roman"/>
          <w:lang w:val="sv-SE"/>
        </w:rPr>
      </w:pPr>
    </w:p>
    <w:p w14:paraId="0D74590A"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Temuan tersebut memperjelas persoalan yang diajukan dalam literatur ketahanan energi. Kerangka </w:t>
      </w:r>
      <w:r w:rsidRPr="00450343">
        <w:rPr>
          <w:rFonts w:ascii="Times New Roman" w:hAnsi="Times New Roman" w:cs="Times New Roman"/>
          <w:i/>
          <w:iCs/>
          <w:lang w:val="sv-SE"/>
        </w:rPr>
        <w:t>four A’s</w:t>
      </w:r>
      <w:r w:rsidRPr="00450343">
        <w:rPr>
          <w:rFonts w:ascii="Times New Roman" w:hAnsi="Times New Roman" w:cs="Times New Roman"/>
          <w:lang w:val="sv-SE"/>
        </w:rPr>
        <w:t xml:space="preserve"> membantu mengidentifikasi karakteristik sistem energi, tetapi Cherp dan Jewell </w:t>
      </w:r>
      <w:r w:rsidRPr="008F78FE">
        <w:rPr>
          <w:rFonts w:ascii="Times New Roman" w:hAnsi="Times New Roman" w:cs="Times New Roman"/>
          <w:lang w:val="en-US"/>
        </w:rPr>
        <w:fldChar w:fldCharType="begin"/>
      </w:r>
      <w:r w:rsidRPr="00450343">
        <w:rPr>
          <w:rFonts w:ascii="Times New Roman" w:hAnsi="Times New Roman" w:cs="Times New Roman"/>
          <w:lang w:val="sv-SE"/>
        </w:rPr>
        <w:instrText xml:space="preserve"> ADDIN ZOTERO_ITEM CSL_CITATION {"citationID":"QacqVxrV","properties":{"unsorted":false,"formattedCitation":"(2014)","plainCitation":"(2014)","noteIndex":0},"citationItems":[{"id":12082,"uris":["http://zotero.org/users/10066221/items/T5QEHJLX"],"itemData":{"id":12082,"type":"article-journal","container-title":"Energy Policy","DOI":"10.1016/j.enpol.2014.09.005","ISSN":"03014215","journalAbbreviation":"Energy Policy","language":"en","page":"415-421","source":"DOI.org (Crossref)","title":"The concept of energy security: Beyond the four A's","title-short":"The concept of energy security","volume":"75","author":[{"family":"Cherp","given":"Aleh"},{"family":"Jewell","given":"Jessica"}],"issued":{"date-parts":[["2014",12]]}},"suppress-author":true}],"schema":"https://github.com/citation-style-language/schema/raw/master/csl-citation.json"} </w:instrText>
      </w:r>
      <w:r w:rsidRPr="008F78FE">
        <w:rPr>
          <w:rFonts w:ascii="Times New Roman" w:hAnsi="Times New Roman" w:cs="Times New Roman"/>
          <w:lang w:val="en-US"/>
        </w:rPr>
        <w:fldChar w:fldCharType="separate"/>
      </w:r>
      <w:r w:rsidRPr="00450343">
        <w:rPr>
          <w:rFonts w:ascii="Times New Roman" w:hAnsi="Times New Roman" w:cs="Times New Roman"/>
          <w:lang w:val="sv-SE"/>
        </w:rPr>
        <w:t>(2014)</w:t>
      </w:r>
      <w:r w:rsidRPr="008F78FE">
        <w:rPr>
          <w:rFonts w:ascii="Times New Roman" w:hAnsi="Times New Roman" w:cs="Times New Roman"/>
        </w:rPr>
        <w:fldChar w:fldCharType="end"/>
      </w:r>
      <w:r w:rsidRPr="00450343">
        <w:rPr>
          <w:rFonts w:ascii="Times New Roman" w:hAnsi="Times New Roman" w:cs="Times New Roman"/>
          <w:lang w:val="sv-SE"/>
        </w:rPr>
        <w:t xml:space="preserve"> menunjukkan bahwa kerangka ini kurang memadai dalam menjawab pertanyaan tentang siapa yang dilindungi dan nilai apa yang hendak diamankan. Hal ini signifikan karena “ketahanan” tidak pernah bersifat netral, mengingat energi dapat dinilai dari kepentingan rumah tangga, industri, negara, investor, atau generasi mendatang. Perkembangan literatur yang memasukkan keadilan, tata kelola, kedaulatan, dan solidaritas telah memperluas dimensi normatif ketahanan energi </w:t>
      </w:r>
      <w:r w:rsidRPr="008F78FE">
        <w:rPr>
          <w:rFonts w:ascii="Times New Roman" w:hAnsi="Times New Roman" w:cs="Times New Roman"/>
          <w:lang w:val="en-US"/>
        </w:rPr>
        <w:fldChar w:fldCharType="begin"/>
      </w:r>
      <w:r w:rsidRPr="00450343">
        <w:rPr>
          <w:rFonts w:ascii="Times New Roman" w:hAnsi="Times New Roman" w:cs="Times New Roman"/>
          <w:lang w:val="sv-SE"/>
        </w:rPr>
        <w:instrText xml:space="preserve"> ADDIN ZOTERO_ITEM CSL_CITATION {"citationID":"xF0n2VM4","properties":{"unsorted":false,"formattedCitation":"(Goldthau &amp; Sovacool, 2012; Paravantis &amp; Kontoulis, 2020; Schmitz dkk., 2025; Timmermann &amp; Noboa, 2022)","plainCitation":"(Goldthau &amp; Sovacool, 2012; Paravantis &amp; Kontoulis, 2020; Schmitz dkk., 2025; Timmermann &amp; Noboa, 2022)","noteIndex":0},"citationItems":[{"id":12089,"uris":["http://zotero.org/users/10066221/items/ADCIFNPP"],"itemData":{"id":12089,"type":"article-journal","container-title":"Energy Policy","DOI":"10.1016/j.enpol.2011.10.042","ISSN":"03014215","journalAbbreviation":"Energy Policy","language":"en","license":"https://www.elsevier.com/tdm/userlicense/1.0/","page":"232-240","source":"DOI.org (Crossref)","title":"The uniqueness of the energy security, justice, and governance problem","volume":"41","author":[{"family":"Goldthau","given":"Andreas"},{"family":"Sovacool","given":"Benjamin K."}],"issued":{"date-parts":[["2012",2]]}}},{"id":12113,"uris":["http://zotero.org/users/10066221/items/N7F2K7KC"],"itemData":{"id":12113,"type":"chapter","container-title":"Renewable Energy - Resources, Challenges and Applications","DOI":"10.5772/intechopen.91848","ISBN":"978-1-78984-283-8","language":"en","license":"https://creativecommons.org/licenses/by/3.0/legalcode","publisher":"IntechOpen","source":"DOI.org (Crossref)","title":"Energy Security and Renewable Energy: A Geopolitical Perspective","title-short":"Energy Security and Renewable Energy","URL":"https://www.inte</w:instrText>
      </w:r>
      <w:r w:rsidRPr="008F78FE">
        <w:rPr>
          <w:rFonts w:ascii="Times New Roman" w:hAnsi="Times New Roman" w:cs="Times New Roman"/>
          <w:lang w:val="en-US"/>
        </w:rPr>
        <w:instrText xml:space="preserve">chopen.com/books/renewable-energy-resources-challenges-and-applications/energy-security-and-renewable-energy-a-geopolitical-perspective","editor":[{"family":"Al Qubeissi","given":"Mansour"},{"family":"El-kharouf","given":"Ahmad"},{"family":"Serhad Soyhan","given":"Hakan"}],"author":[{"family":"Paravantis","given":"John A."},{"family":"Kontoulis","given":"Nikoletta"}],"accessed":{"date-parts":[["2026",8,28]]},"issued":{"date-parts":[["2020",9,9]]}}},{"id":12123,"uris":["http://zotero.org/users/10066221/items/JZS22Z9I"],"itemData":{"id":12123,"type":"article-journal","container-title":"Energy Policy","DOI":"10.1016/j.enpol.2025.114796","ISSN":"03014215","journalAbbreviation":"Energy Policy","language":"en","page":"114796","source":"DOI.org (Crossref)","title":"Energy security and resilience: Revisiting concepts and advancing planning perspectives for transforming integrated energy systems","title-short":"Energy security and resilience","volume":"207","author":[{"family":"Schmitz","given":"Richard"},{"family":"Flachsbarth","given":"Franziska"},{"family":"Plaga","given":"Leonie Sara"},{"family":"Braun","given":"Martin"},{"family":"Härtel","given":"Philipp"}],"issued":{"date-parts":[["2025",12]]}}},{"id":12136,"uris":["http://zotero.org/users/10066221/items/57BBGPFG"],"itemData":{"id":12136,"type":"article-journal","abstract":"Abstract\n            Achieving energy sovereignty is increasingly gaining prominence as a goal in energy politics. The aim of this paper is to provide a conceptual analysis of this principle from an ethics and social justice perspective. We rely on the literature on food sovereignty to identify through a comparative analysis the elements energy sovereignty will most likely demand and thereafter distinguish the unique constituencies of the energy sector. The idea of energy sovereignty embraces a series of values, among which we identified: (i) accessibility, to allow access to everyone, (ii) empowerment and recognition, to develop and sustain capabilities to collaboratively produce solution-oriented energy system knowledge and effectively participate in governance, (iii) stewardship and sustainability, to be able to design and manage decentralised renewable systems in view of protecting the environment, (iv) self-sufficiency, to reduce the negative shocks of exploitative business practises, (v) resilience, to maintain production capacities while withstanding socioeconomic, political, environmental and climatic shocks, (vi) peace, to establish production systems that do not involve hostile relations, (vii) transparency and self-determination, to establish democratic decision-making mechanisms that give a voice to previously underrepresented groups and limit corporate takeover (viii) gender-justice, by acknowledging the contributions of women and eliminate barriers to their empowerment. With a conceptual framework of energy sovereignty, we present a rationale that draws on the key values to be considered when formulating policy solutions for the energy sector.","container-title":"Science and Engineering Ethics","DOI":"10.1007/s11948-022-00409-x","ISSN":"1353-3452, 1471-5546","issue":"6","journalAbbreviation":"Sci Eng Ethics","language":"en","page":"54","source":"DOI.org (Crossref)","title":"Energy Sovereignty: A Values-Based Conceptual Analysis","title-short":"Energy Sovereignty","volume":"28","author":[{"family":"Timmermann","given":"Cristian"},{"family":"Noboa","given":"Eduardo"}],"issued":{"date-parts":[["2022",12]]}}}],"schema":"https://github.com/citation-style-language/schema/raw/master/csl-citation.json"} </w:instrText>
      </w:r>
      <w:r w:rsidRPr="008F78FE">
        <w:rPr>
          <w:rFonts w:ascii="Times New Roman" w:hAnsi="Times New Roman" w:cs="Times New Roman"/>
          <w:lang w:val="en-US"/>
        </w:rPr>
        <w:fldChar w:fldCharType="separate"/>
      </w:r>
      <w:r w:rsidRPr="008F78FE">
        <w:rPr>
          <w:rFonts w:ascii="Times New Roman" w:hAnsi="Times New Roman" w:cs="Times New Roman"/>
          <w:lang w:val="en-US"/>
        </w:rPr>
        <w:t>(Goldthau &amp; Sovacool, 2012; Paravantis &amp; Kontoulis, 2020; Schmitz dkk., 2025; Timmermann &amp; Noboa, 2022)</w:t>
      </w:r>
      <w:r w:rsidRPr="008F78FE">
        <w:rPr>
          <w:rFonts w:ascii="Times New Roman" w:hAnsi="Times New Roman" w:cs="Times New Roman"/>
        </w:rPr>
        <w:fldChar w:fldCharType="end"/>
      </w:r>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tetapi</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perhatian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tetap</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dominan</w:t>
      </w:r>
      <w:proofErr w:type="spellEnd"/>
      <w:r w:rsidRPr="008F78FE">
        <w:rPr>
          <w:rFonts w:ascii="Times New Roman" w:hAnsi="Times New Roman" w:cs="Times New Roman"/>
          <w:lang w:val="en-US"/>
        </w:rPr>
        <w:t xml:space="preserve"> pada </w:t>
      </w:r>
      <w:proofErr w:type="spellStart"/>
      <w:r w:rsidRPr="008F78FE">
        <w:rPr>
          <w:rFonts w:ascii="Times New Roman" w:hAnsi="Times New Roman" w:cs="Times New Roman"/>
          <w:lang w:val="en-US"/>
        </w:rPr>
        <w:t>distribusi</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manfaat</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keberlanjutan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atau</w:t>
      </w:r>
      <w:proofErr w:type="spellEnd"/>
      <w:r w:rsidRPr="008F78FE">
        <w:rPr>
          <w:rFonts w:ascii="Times New Roman" w:hAnsi="Times New Roman" w:cs="Times New Roman"/>
          <w:lang w:val="en-US"/>
        </w:rPr>
        <w:t xml:space="preserve"> tata </w:t>
      </w:r>
      <w:proofErr w:type="spellStart"/>
      <w:r w:rsidRPr="008F78FE">
        <w:rPr>
          <w:rFonts w:ascii="Times New Roman" w:hAnsi="Times New Roman" w:cs="Times New Roman"/>
          <w:lang w:val="en-US"/>
        </w:rPr>
        <w:t>kelola</w:t>
      </w:r>
      <w:proofErr w:type="spellEnd"/>
      <w:r w:rsidRPr="008F78FE">
        <w:rPr>
          <w:rFonts w:ascii="Times New Roman" w:hAnsi="Times New Roman" w:cs="Times New Roman"/>
          <w:lang w:val="en-US"/>
        </w:rPr>
        <w:t xml:space="preserve"> formal. </w:t>
      </w:r>
      <w:proofErr w:type="spellStart"/>
      <w:r w:rsidRPr="008F78FE">
        <w:rPr>
          <w:rFonts w:ascii="Times New Roman" w:hAnsi="Times New Roman" w:cs="Times New Roman"/>
          <w:lang w:val="en-US"/>
        </w:rPr>
        <w:t>Temuan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penelitian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ini</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menambahkan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dimensi</w:t>
      </w:r>
      <w:proofErr w:type="spellEnd"/>
      <w:r w:rsidRPr="008F78FE">
        <w:rPr>
          <w:rFonts w:ascii="Times New Roman" w:hAnsi="Times New Roman" w:cs="Times New Roman"/>
          <w:lang w:val="en-US"/>
        </w:rPr>
        <w:t xml:space="preserve"> yang </w:t>
      </w:r>
      <w:proofErr w:type="spellStart"/>
      <w:r w:rsidRPr="008F78FE">
        <w:rPr>
          <w:rFonts w:ascii="Times New Roman" w:hAnsi="Times New Roman" w:cs="Times New Roman"/>
          <w:lang w:val="en-US"/>
        </w:rPr>
        <w:t>berbeda</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dengan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menunjukkan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bahwa</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pertanyaan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nilai</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apa</w:t>
      </w:r>
      <w:proofErr w:type="spellEnd"/>
      <w:r w:rsidRPr="008F78FE">
        <w:rPr>
          <w:rFonts w:ascii="Times New Roman" w:hAnsi="Times New Roman" w:cs="Times New Roman"/>
          <w:lang w:val="en-US"/>
        </w:rPr>
        <w:t xml:space="preserve"> yang </w:t>
      </w:r>
      <w:proofErr w:type="spellStart"/>
      <w:r w:rsidRPr="008F78FE">
        <w:rPr>
          <w:rFonts w:ascii="Times New Roman" w:hAnsi="Times New Roman" w:cs="Times New Roman"/>
          <w:lang w:val="en-US"/>
        </w:rPr>
        <w:t>dilindungi</w:t>
      </w:r>
      <w:proofErr w:type="spellEnd"/>
      <w:r w:rsidRPr="008F78FE">
        <w:rPr>
          <w:rFonts w:ascii="Times New Roman" w:hAnsi="Times New Roman" w:cs="Times New Roman"/>
          <w:lang w:val="en-US"/>
        </w:rPr>
        <w:t xml:space="preserve">?” juga </w:t>
      </w:r>
      <w:proofErr w:type="spellStart"/>
      <w:r w:rsidRPr="008F78FE">
        <w:rPr>
          <w:rFonts w:ascii="Times New Roman" w:hAnsi="Times New Roman" w:cs="Times New Roman"/>
          <w:lang w:val="en-US"/>
        </w:rPr>
        <w:t>dapat</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dijawab</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dengan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menelusuri</w:t>
      </w:r>
      <w:proofErr w:type="spellEnd"/>
      <w:r w:rsidRPr="008F78FE">
        <w:rPr>
          <w:rFonts w:ascii="Times New Roman" w:hAnsi="Times New Roman" w:cs="Times New Roman"/>
          <w:lang w:val="en-US"/>
        </w:rPr>
        <w:t xml:space="preserve"> norma </w:t>
      </w:r>
      <w:proofErr w:type="spellStart"/>
      <w:r w:rsidRPr="008F78FE">
        <w:rPr>
          <w:rFonts w:ascii="Times New Roman" w:hAnsi="Times New Roman" w:cs="Times New Roman"/>
          <w:lang w:val="en-US"/>
        </w:rPr>
        <w:t>sosial</w:t>
      </w:r>
      <w:proofErr w:type="spellEnd"/>
      <w:r w:rsidRPr="008F78FE">
        <w:rPr>
          <w:rFonts w:ascii="Times New Roman" w:hAnsi="Times New Roman" w:cs="Times New Roman"/>
          <w:lang w:val="en-US"/>
        </w:rPr>
        <w:t xml:space="preserve"> yang </w:t>
      </w:r>
      <w:proofErr w:type="spellStart"/>
      <w:r w:rsidRPr="008F78FE">
        <w:rPr>
          <w:rFonts w:ascii="Times New Roman" w:hAnsi="Times New Roman" w:cs="Times New Roman"/>
          <w:lang w:val="en-US"/>
        </w:rPr>
        <w:t>memungkinkan</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masyarakat</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mengatur</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perilakunya</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terhadap</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sumber</w:t>
      </w:r>
      <w:proofErr w:type="spellEnd"/>
      <w:r w:rsidRPr="008F78FE">
        <w:rPr>
          <w:rFonts w:ascii="Times New Roman" w:hAnsi="Times New Roman" w:cs="Times New Roman"/>
          <w:lang w:val="en-US"/>
        </w:rPr>
        <w:t xml:space="preserve"> </w:t>
      </w:r>
      <w:proofErr w:type="spellStart"/>
      <w:r w:rsidRPr="008F78FE">
        <w:rPr>
          <w:rFonts w:ascii="Times New Roman" w:hAnsi="Times New Roman" w:cs="Times New Roman"/>
          <w:lang w:val="en-US"/>
        </w:rPr>
        <w:t>daya</w:t>
      </w:r>
      <w:proofErr w:type="spellEnd"/>
      <w:r w:rsidRPr="008F78FE">
        <w:rPr>
          <w:rFonts w:ascii="Times New Roman" w:hAnsi="Times New Roman" w:cs="Times New Roman"/>
          <w:lang w:val="en-US"/>
        </w:rPr>
        <w:t xml:space="preserve">. </w:t>
      </w:r>
      <w:r w:rsidRPr="00450343">
        <w:rPr>
          <w:rFonts w:ascii="Times New Roman" w:hAnsi="Times New Roman" w:cs="Times New Roman"/>
          <w:lang w:val="sv-SE"/>
        </w:rPr>
        <w:t xml:space="preserve">Dengan kata lain, nilai tidak hanya menjadi tujuan yang hendak dilindungi oleh sistem energi; </w:t>
      </w:r>
      <w:r w:rsidRPr="00450343">
        <w:rPr>
          <w:rFonts w:ascii="Times New Roman" w:hAnsi="Times New Roman" w:cs="Times New Roman"/>
          <w:lang w:val="sv-SE"/>
        </w:rPr>
        <w:t>nilai juga dapat menjadi sumber daya normatif yang membantu sistem tersebut dikelola.</w:t>
      </w:r>
    </w:p>
    <w:p w14:paraId="43888077"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Teori </w:t>
      </w:r>
      <w:r w:rsidRPr="00450343">
        <w:rPr>
          <w:rFonts w:ascii="Times New Roman" w:hAnsi="Times New Roman" w:cs="Times New Roman"/>
          <w:i/>
          <w:iCs/>
          <w:lang w:val="sv-SE"/>
        </w:rPr>
        <w:t>societal security</w:t>
      </w:r>
      <w:r w:rsidRPr="00450343">
        <w:rPr>
          <w:rFonts w:ascii="Times New Roman" w:hAnsi="Times New Roman" w:cs="Times New Roman"/>
          <w:lang w:val="sv-SE"/>
        </w:rPr>
        <w:t xml:space="preserve"> tampaknya dapat membantu menerangkan temuan tersebut. Perspektif Copenhagen School menempatkan identitas kolektif sebagai </w:t>
      </w:r>
      <w:r w:rsidRPr="00450343">
        <w:rPr>
          <w:rFonts w:ascii="Times New Roman" w:hAnsi="Times New Roman" w:cs="Times New Roman"/>
          <w:i/>
          <w:iCs/>
          <w:lang w:val="sv-SE"/>
        </w:rPr>
        <w:t>referent object</w:t>
      </w:r>
      <w:r w:rsidRPr="00450343">
        <w:rPr>
          <w:rFonts w:ascii="Times New Roman" w:hAnsi="Times New Roman" w:cs="Times New Roman"/>
          <w:lang w:val="sv-SE"/>
        </w:rPr>
        <w:t xml:space="preserve"> dan melihat keberlangsungan budaya, nilai, serta pola hidup sebagai bagian dari keamanan masyarakat </w:t>
      </w:r>
      <w:r w:rsidRPr="008F78FE">
        <w:rPr>
          <w:rFonts w:ascii="Times New Roman" w:hAnsi="Times New Roman" w:cs="Times New Roman"/>
          <w:lang w:val="en-US"/>
        </w:rPr>
        <w:fldChar w:fldCharType="begin"/>
      </w:r>
      <w:r w:rsidRPr="00450343">
        <w:rPr>
          <w:rFonts w:ascii="Times New Roman" w:hAnsi="Times New Roman" w:cs="Times New Roman"/>
          <w:lang w:val="sv-SE"/>
        </w:rPr>
        <w:instrText xml:space="preserve"> ADDIN ZOTERO_ITEM CSL_CITATION {"citationID":"3Lxjg6Yg","properties":{"unsorted":false,"formattedCitation":"(Buzan, Waever, &amp; Wilde, 2022; Pani\\uc0\\u263{}, 2009; Rhinard, 2020)","plainCitation":"(Buzan, Waever, &amp; Wilde, 2022; Panić, 2009; Rhinard, 2020)","noteIndex":0},"citationItems":[{"id":12079,"uris":["http://zotero.org/users/10066221/items/WKEEGV43"],"itemData":{"id":12079,"type":"book","abstract":"Traditionalists in the field of security studies tend to restrict the subject to politico–military issues; while wideners want to extend it to the economic, societal, and environmental sectors. This book sets out a comprehensive statement of the new security studies, establishing the case for the broader agenda. The authors argue that security is a particular type of politics applicable to a wide range of issues. Answering the traditionalist charge that this model makes the subject incoherent, they offer a constructivist operational method for distinguishing the process of securitization from that of politicization. Their approach incorporates the traditionalist agenda and dissolves the artificial boundary between security studies and international political economy, opening the way for a fruitful interplay between the two fields. It also shows how the theory of regional security complexes remains relevant in today's world","DOI":"10.1515/9781685853808","ISBN":"978-1-55587-603-6","language":"eng","number-of-pages":"1","publisher":"Lynne Rienner Publishers","publisher-place":"Boulder London","source":"K10plus ISBN","title":"Security: a new framework for analysis","title-short":"Security","author":[{"family":"Buzan","given":"Barry"},{"family":"Waever","given":"Ole"},{"family":"Wilde","given":"Jaap","dropping-particle":"de"}],"issued":{"date-parts":[["2022"]]}}},{"id":12112,"uris":["http://zotero.org/users/10066221/items/EQMGDT5P"],"itemData":{"id":12112,"type":"article-journal","abstract":"This paper presents the concept of societal security as perceived in the approach of the Copenhagen School of Security Studies, as well as the main criticism of the concept. Contrary to the traditional approach, the approach advocated by members of the Copenhagen School does not only focus on military threat; here the account is taken of a wider concept of security (military, political, economic, environmental, and societal sector). Societal security is an important element of this concept and collective identity appears as a reference object within it. The identity of community, rather than the sovereignty of state, is the value that is protected in this case. Identity is often interpreted as a source of conflicts, or their outcome. The theoreticians of the Copenhagen School are developing an analytica</w:instrText>
      </w:r>
      <w:r w:rsidRPr="00E97493">
        <w:rPr>
          <w:rFonts w:ascii="Times New Roman" w:hAnsi="Times New Roman" w:cs="Times New Roman"/>
          <w:lang w:val="sv-SE"/>
        </w:rPr>
        <w:instrText xml:space="preserve">l framework for understanding this interrelation between identity and security.","container-title":"Western Balkans Security Observer - English Edition","ISSN":"1452-6115","issue":"13","language":"English","page":"28-39","publisher":"BCBP Beogradski centar za bezbednosnu politiku","source":"www.ceeol.com","title":"Societal Security – Security And Identity","author":[{"family":"Panić","given":"Branka"}],"issued":{"date-parts":[["2009"]]}}},{"id":12119,"uris":["http://zotero.org/users/10066221/items/TWUASEW2"],"itemData":{"id":12119,"type":"chapter","container-title":"Nordic Societal Security","DOI":"10.4324/9781003045533-3","edition":"1","ISBN":"978-1-003-04553-3","language":"en","page":"22-42","publisher":"Routledge","publisher-place":"London","source":"DOI.org (Crossref)","title":"Societal security in theory and practice","URL":"https://www.taylorfrancis.com/books/9781003045533/chapters/10.4324/9781003045533-3","container-author":[{"family":"Larsson","given":"Sebastian"},{"family":"Rhinard","given":"Mark"}],"author":[{"family":"Rhinard","given":"Mark"}],"accessed":{"date-parts":[["2026",8,28]]},"issued":{"date-parts":[["2020",7,8]]}}}],"schema":"https://github.com/citation-style-language/schema/raw/master/csl-citation.json"} </w:instrText>
      </w:r>
      <w:r w:rsidRPr="008F78FE">
        <w:rPr>
          <w:rFonts w:ascii="Times New Roman" w:hAnsi="Times New Roman" w:cs="Times New Roman"/>
          <w:lang w:val="en-US"/>
        </w:rPr>
        <w:fldChar w:fldCharType="separate"/>
      </w:r>
      <w:r w:rsidRPr="008F78FE">
        <w:rPr>
          <w:rFonts w:ascii="Times New Roman" w:hAnsi="Times New Roman" w:cs="Times New Roman"/>
        </w:rPr>
        <w:t>(Buzan, Waever, &amp; Wilde, 2022; Panić, 2009; Rhinard, 2020)</w:t>
      </w:r>
      <w:r w:rsidRPr="008F78FE">
        <w:rPr>
          <w:rFonts w:ascii="Times New Roman" w:hAnsi="Times New Roman" w:cs="Times New Roman"/>
        </w:rPr>
        <w:fldChar w:fldCharType="end"/>
      </w:r>
      <w:r w:rsidRPr="00E97493">
        <w:rPr>
          <w:rFonts w:ascii="Times New Roman" w:hAnsi="Times New Roman" w:cs="Times New Roman"/>
          <w:lang w:val="sv-SE"/>
        </w:rPr>
        <w:t xml:space="preserve">. </w:t>
      </w:r>
      <w:r w:rsidRPr="00450343">
        <w:rPr>
          <w:rFonts w:ascii="Times New Roman" w:hAnsi="Times New Roman" w:cs="Times New Roman"/>
          <w:lang w:val="sv-SE"/>
        </w:rPr>
        <w:t xml:space="preserve">Namun, penerapan perspektif tersebut pada tata kelola energi masih terbatas dibandingkan penggunaannya dalam persoalan identitas, migrasi, dan konflik sosial. Literatur tentang keamanan sumber daya justru lebih banyak menggunakan kerangka </w:t>
      </w:r>
      <w:r w:rsidRPr="00450343">
        <w:rPr>
          <w:rFonts w:ascii="Times New Roman" w:hAnsi="Times New Roman" w:cs="Times New Roman"/>
          <w:i/>
          <w:iCs/>
          <w:lang w:val="sv-SE"/>
        </w:rPr>
        <w:t>human security</w:t>
      </w:r>
      <w:r w:rsidRPr="00450343">
        <w:rPr>
          <w:rFonts w:ascii="Times New Roman" w:hAnsi="Times New Roman" w:cs="Times New Roman"/>
          <w:lang w:val="sv-SE"/>
        </w:rPr>
        <w:t xml:space="preserve">, </w:t>
      </w:r>
      <w:r w:rsidRPr="00450343">
        <w:rPr>
          <w:rFonts w:ascii="Times New Roman" w:hAnsi="Times New Roman" w:cs="Times New Roman"/>
          <w:i/>
          <w:iCs/>
          <w:lang w:val="sv-SE"/>
        </w:rPr>
        <w:t>securitisation</w:t>
      </w:r>
      <w:r w:rsidRPr="00450343">
        <w:rPr>
          <w:rFonts w:ascii="Times New Roman" w:hAnsi="Times New Roman" w:cs="Times New Roman"/>
          <w:lang w:val="sv-SE"/>
        </w:rPr>
        <w:t xml:space="preserve">, atau </w:t>
      </w:r>
      <w:r w:rsidRPr="00450343">
        <w:rPr>
          <w:rFonts w:ascii="Times New Roman" w:hAnsi="Times New Roman" w:cs="Times New Roman"/>
          <w:i/>
          <w:iCs/>
          <w:lang w:val="sv-SE"/>
        </w:rPr>
        <w:t>resource governance</w:t>
      </w:r>
      <w:r w:rsidRPr="00450343">
        <w:rPr>
          <w:rFonts w:ascii="Times New Roman" w:hAnsi="Times New Roman" w:cs="Times New Roman"/>
          <w:lang w:val="sv-SE"/>
        </w:rPr>
        <w:t xml:space="preserve">, dengan perhatian pada kesejahteraan, risiko, efisiensi, dan keberlanjutan </w:t>
      </w:r>
      <w:r w:rsidRPr="008F78FE">
        <w:rPr>
          <w:rFonts w:ascii="Times New Roman" w:hAnsi="Times New Roman" w:cs="Times New Roman"/>
          <w:lang w:val="en-US"/>
        </w:rPr>
        <w:fldChar w:fldCharType="begin"/>
      </w:r>
      <w:r w:rsidRPr="00450343">
        <w:rPr>
          <w:rFonts w:ascii="Times New Roman" w:hAnsi="Times New Roman" w:cs="Times New Roman"/>
          <w:lang w:val="sv-SE"/>
        </w:rPr>
        <w:instrText xml:space="preserve"> ADDIN ZOTERO_ITEM CSL_CITATION {"citationID":"IECkSi22","properties":{"unsorted":false,"formattedCitation":"(Engwicht &amp; Grabek, 2019; Liebenguth, 2020)","plainCitation":"(Engwicht &amp; Grabek, 2019; Liebenguth, 2020)","noteIndex":0},"citationItems":[{"id":12085,"uris":["http://zotero.org/users/10066221/items/ZCP97PUD"],"itemData":{"id":12085,"type":"article-journal","container-title":"South African Journal of International Affairs","DOI":"10.1080/10220461.2019.1607545","ISSN":"1022-0461, 1938-0275","issue":"2","journalAbbreviation":"South African Journal of International Affairs","language":"en","page":"185-207","source":"DOI.org (Crossref)","title":"A human security perspective on natural resource governance: What makes reforms effective?","title-short":"A human security perspective on natural resource governance","volume":"26","author":[{"family":"Engwicht","given":"Nina"},{"family":"Grabek","given":"Jan"}],"issued":{"date-parts":[["2019",4,3]]}}},{"id":12105,"uris":["http://zotero.org/users/10066221/items/BVXKLF4V"],"itemData":{"id":12105,"type":"article-journal","container-title":"Critical Studies on Security","DOI":"10.1080/21624887.2020.1754713","ISSN":"2162-4887, 2162-4909","issue":"3","journalAbbreviation":"Critical Studies on Security","language":"en","page":"189-202","source":"DOI.org (Crossref)","title":"Conceptions of Security in Global Environmental Discourses: Exploring the Water-Energy-Food Security Nexus","title-short":"Conceptions of Security in Global Environmental Discourses","volume":"8","author":[{"family":"Liebenguth","given":"Julianne"}],"issued":{"date-parts":[["2020",9,1]]}}}],"schema":"https://github.com/citation-style-language/schema/raw/master/csl-citation.json"} </w:instrText>
      </w:r>
      <w:r w:rsidRPr="008F78FE">
        <w:rPr>
          <w:rFonts w:ascii="Times New Roman" w:hAnsi="Times New Roman" w:cs="Times New Roman"/>
          <w:lang w:val="en-US"/>
        </w:rPr>
        <w:fldChar w:fldCharType="separate"/>
      </w:r>
      <w:r w:rsidRPr="00450343">
        <w:rPr>
          <w:rFonts w:ascii="Times New Roman" w:hAnsi="Times New Roman" w:cs="Times New Roman"/>
          <w:lang w:val="sv-SE"/>
        </w:rPr>
        <w:t>(Engwicht &amp; Grabek, 2019; Liebenguth, 2020)</w:t>
      </w:r>
      <w:r w:rsidRPr="008F78FE">
        <w:rPr>
          <w:rFonts w:ascii="Times New Roman" w:hAnsi="Times New Roman" w:cs="Times New Roman"/>
        </w:rPr>
        <w:fldChar w:fldCharType="end"/>
      </w:r>
      <w:r w:rsidRPr="00450343">
        <w:rPr>
          <w:rFonts w:ascii="Times New Roman" w:hAnsi="Times New Roman" w:cs="Times New Roman"/>
          <w:lang w:val="sv-SE"/>
        </w:rPr>
        <w:t>. Temuan penelitian ini mempertemukan kedua ranah tersebut pada tingkat mekanisme. Budaya tidak hanya merupakan identitas kolektif yang perlu dipertahankan; nilai yang hidup di dalamnya dapat membentuk aturan sosial yang memengaruhi cara sumber daya diperlakukan. Karena itu, keberlanjutan identitas dan keberlanjutan tata kelola tidak selalu merupakan dua persoalan yang terpisah.</w:t>
      </w:r>
    </w:p>
    <w:p w14:paraId="66B53908"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Bagaimanapun, perlu digarisbawahi bahwa keberadaan nilai budaya tidak serta-merta menghasilkan tata kelola yang lebih baik. Ini merupakan koreksi penting terhadap kecenderungan untuk memperlakukan </w:t>
      </w:r>
      <w:r w:rsidRPr="00450343">
        <w:rPr>
          <w:rFonts w:ascii="Times New Roman" w:hAnsi="Times New Roman" w:cs="Times New Roman"/>
          <w:i/>
          <w:iCs/>
          <w:lang w:val="sv-SE"/>
        </w:rPr>
        <w:t>local wisdom</w:t>
      </w:r>
      <w:r w:rsidRPr="00450343">
        <w:rPr>
          <w:rFonts w:ascii="Times New Roman" w:hAnsi="Times New Roman" w:cs="Times New Roman"/>
          <w:lang w:val="sv-SE"/>
        </w:rPr>
        <w:t xml:space="preserve"> sebagai sumber daya normatif yang secara otomatis positif. Data menunjukkan bahwa LAMR masih menjalankan fungsi pewarisan nilai, tetapi regenerasi tokoh adat dan minat generasi muda terhadap budaya tradisional menghadapi tantangan. Globalisasi, perubahan gaya hidup, dan perkembangan teknologi juga dapat mengurangi keterikatan generasi muda dengan bentuk-bentuk budaya tradisional. Karena itu, yang menentukan bukan sekadar apakah suatu nilai masih dapat ditemukan dalam teks budaya atau institusi adat, melainkan apakah nilai tersebut masih berhasil diteruskan dan diterjemahkan menjadi perilaku. Dalam istilah institusi informal, norma hanya menjadi relevan secara tata kelola ketika ia membentuk ekspektasi terhadap perilaku </w:t>
      </w:r>
      <w:r w:rsidRPr="00450343">
        <w:rPr>
          <w:rFonts w:ascii="Times New Roman" w:hAnsi="Times New Roman" w:cs="Times New Roman"/>
          <w:lang w:val="sv-SE"/>
        </w:rPr>
        <w:lastRenderedPageBreak/>
        <w:t>dan menyediakan dasar sosial bagi kepatuhan.</w:t>
      </w:r>
    </w:p>
    <w:p w14:paraId="5159E603"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Hal tersebut sejalan dengan literatur yang melihat institusi formal dan informal sebagai sistem yang dapat saling melengkapi, menggantikan, atau bahkan berkonflik. Penelitian tentang pengelolaan sumber daya bersama menunjukkan bahwa norma lokal, pengetahuan setempat, keputusan kolektif, dan sanksi sosial dapat membantu mengatur penggunaan sumber daya ketika aturan formal tidak memadai </w:t>
      </w:r>
      <w:r w:rsidRPr="008F78FE">
        <w:rPr>
          <w:rFonts w:ascii="Times New Roman" w:hAnsi="Times New Roman" w:cs="Times New Roman"/>
          <w:lang w:val="en-US"/>
        </w:rPr>
        <w:fldChar w:fldCharType="begin"/>
      </w:r>
      <w:r w:rsidRPr="00450343">
        <w:rPr>
          <w:rFonts w:ascii="Times New Roman" w:hAnsi="Times New Roman" w:cs="Times New Roman"/>
          <w:lang w:val="sv-SE"/>
        </w:rPr>
        <w:instrText xml:space="preserve"> ADDIN ZOTERO_ITEM CSL_CITATION {"citationID":"MyIZJDh8","properties":{"unsorted":false,"formattedCitation":"(Yami dkk., 2009; Yeboah-Assiamah dkk., 2019)","plainCitation":"(Yami dkk., 2009; Yeboah-Assiamah dkk., 2019)","noteIndex":0},"citationItems":[{"id":12139,"uris":["http://zotero.org/users/10066221/items/J9FQGIK7"],"itemData":{"id":12139,"type":"article-journal","container-title":"Conservation and Society","DOI":"10.4103/0972-4923.64731","ISSN":"0972-4923","issue":"3","journalAbbreviation":"Conservat Soc","language":"en","page":"153","source":"DOI.org (Crossref)","title":"Comparing the Effectiveness of Informal and Formal Institutions in Sustainable Common Pool Resources Management in Sub-Saharan Africa","volume":"7","author":[{"family":"Yami","given":"Mastewal"},{"family":"Vogl","given":"Christian"},{"family":"Hauser","given":"Michael"}],"issued":{"date-parts":[["2009"]]}}},{"id":12138,"uris":["http://zotero.org/users/10066221/items/I6NPTY8J"],"itemData":{"id":12138,"type":"article-journal","container-title":"Society &amp; Natural Resources","DOI":"10.1080/08941920.2019.1647320","ISSN":"0894-1920, 1521-0723","issue":"12","journalAbbreviation":"Society &amp; Natural Resources","language":"en","page":"1364-1382","source":"DOI.org (Crossref)","title":"Two Sides of the Same Coin: Formal and Informal Institutional Synergy in a Case Study of Wildlife Governance in Ghana","title-short":"Two Sides of the Same Coin","volume":"32","author":[{"family":"Yeboah-Assiamah","given":"Emmanuel"},{"family":"Muller","given":"Kobus"},{"family":"Domfeh","given":"Kwame Ameyaw"}],"issued":{"date-parts":[["2019",12,2]]}}}],"schema":"https://github.com/citation-style-language/schema/raw/master/csl-citation.json"} </w:instrText>
      </w:r>
      <w:r w:rsidRPr="008F78FE">
        <w:rPr>
          <w:rFonts w:ascii="Times New Roman" w:hAnsi="Times New Roman" w:cs="Times New Roman"/>
          <w:lang w:val="en-US"/>
        </w:rPr>
        <w:fldChar w:fldCharType="separate"/>
      </w:r>
      <w:r w:rsidRPr="00450343">
        <w:rPr>
          <w:rFonts w:ascii="Times New Roman" w:hAnsi="Times New Roman" w:cs="Times New Roman"/>
          <w:lang w:val="sv-SE"/>
        </w:rPr>
        <w:t>(Yami dkk., 2009; Yeboah-Assiamah dkk., 2019)</w:t>
      </w:r>
      <w:r w:rsidRPr="008F78FE">
        <w:rPr>
          <w:rFonts w:ascii="Times New Roman" w:hAnsi="Times New Roman" w:cs="Times New Roman"/>
        </w:rPr>
        <w:fldChar w:fldCharType="end"/>
      </w:r>
      <w:r w:rsidRPr="00450343">
        <w:rPr>
          <w:rFonts w:ascii="Times New Roman" w:hAnsi="Times New Roman" w:cs="Times New Roman"/>
          <w:lang w:val="sv-SE"/>
        </w:rPr>
        <w:t xml:space="preserve">. Dalam konteks Indonesia, gotong royong, musyawarah, dan bentuk pengelolaan berbasis komunitas juga menunjukkan bahwa koordinasi tidak selalu harus dibangun melalui instruksi formal. Namun, kasus Melayu Riau memperlihatkan satu tahap yang selama ini luput dari literatur, yaitu tentang bagaimana norma itu memperoleh keberlanjutan antargenerasi. Sebelum norma dapat berfungsi sebagai institusi informal, ia harus terlebih dahulu ditransmisikan dan dikenali sebagai norma yang sah. Dengan demikian, penelitian ini menempatkan </w:t>
      </w:r>
      <w:r w:rsidRPr="00450343">
        <w:rPr>
          <w:rFonts w:ascii="Times New Roman" w:hAnsi="Times New Roman" w:cs="Times New Roman"/>
          <w:i/>
          <w:iCs/>
          <w:lang w:val="sv-SE"/>
        </w:rPr>
        <w:t>norm transmission</w:t>
      </w:r>
      <w:r w:rsidRPr="00450343">
        <w:rPr>
          <w:rFonts w:ascii="Times New Roman" w:hAnsi="Times New Roman" w:cs="Times New Roman"/>
          <w:lang w:val="sv-SE"/>
        </w:rPr>
        <w:t xml:space="preserve"> sebagai kondisi penting yang menghubungkan warisan budaya dengan institusionalisasi informal.</w:t>
      </w:r>
    </w:p>
    <w:p w14:paraId="00D9CF78"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Implikasi teoritisnya dengan demikian bukan bahwa budaya harus ditambahkan sebagai “A” kelima dalam kerangka </w:t>
      </w:r>
      <w:r w:rsidRPr="00450343">
        <w:rPr>
          <w:rFonts w:ascii="Times New Roman" w:hAnsi="Times New Roman" w:cs="Times New Roman"/>
          <w:i/>
          <w:iCs/>
          <w:lang w:val="sv-SE"/>
        </w:rPr>
        <w:t>four A’s</w:t>
      </w:r>
      <w:r w:rsidRPr="00450343">
        <w:rPr>
          <w:rFonts w:ascii="Times New Roman" w:hAnsi="Times New Roman" w:cs="Times New Roman"/>
          <w:lang w:val="sv-SE"/>
        </w:rPr>
        <w:t xml:space="preserve">. Penambahan satu dimensi baru justru hanya akan mempertahankan masalah lama dengan sekadar memperpanjang daftar karakteristik sistem energi. Kontribusi yang lebih penting adalah mengubah posisi budaya dalam analisis dari tadinya hanya atribut yang melekat pada masyarakat menjadi mekanisme yang menjelaskan bagaimana nilai memengaruhi tata kelola. Perubahan ini memungkinkan ketahanan energi dianalisis tidak hanya melalui kondisi sistem energi, tetapi juga melalui kapasitas sosial yang menopang pengelolaan sistem tersebut. Perspektif ini juga lebih dekat dengan kritik Cherp dan Jewell </w:t>
      </w:r>
      <w:r w:rsidRPr="008F78FE">
        <w:rPr>
          <w:rFonts w:ascii="Times New Roman" w:hAnsi="Times New Roman" w:cs="Times New Roman"/>
          <w:lang w:val="en-US"/>
        </w:rPr>
        <w:fldChar w:fldCharType="begin"/>
      </w:r>
      <w:r w:rsidRPr="00450343">
        <w:rPr>
          <w:rFonts w:ascii="Times New Roman" w:hAnsi="Times New Roman" w:cs="Times New Roman"/>
          <w:lang w:val="sv-SE"/>
        </w:rPr>
        <w:instrText xml:space="preserve"> ADDIN ZOTERO_ITEM CSL_CITATION {"citationID":"MSbYmToB","properties":{"unsorted":false,"formattedCitation":"(2014)","plainCitation":"(2014)","noteIndex":0},"citationItems":[{"id":12082,"uris":["http://zotero.org/users/10066221/items/T5QEHJLX"],"itemData":{"id":12082,"type":"article-journal","container-title":"Energy Policy","DOI":"10.1016/j.enpol.2014.09.005","ISSN":"03014215","journalAbbreviation":"Energy Policy","language":"en","page":"415-421","source":"DOI.org (Crossref)","title":"The concept of energy security: Beyond the four A's","title-short":"The concept of energy security","volume":"75","author":[{"family":"Cherp","given":"Aleh"},{"family":"Jewell","given":"Jessica"}],"issued":{"date-parts":[["2014",12]]}},"suppress-author":true}],"schema":"https://github.com/citation-style-language/schema/raw/master/csl-citation.json"} </w:instrText>
      </w:r>
      <w:r w:rsidRPr="008F78FE">
        <w:rPr>
          <w:rFonts w:ascii="Times New Roman" w:hAnsi="Times New Roman" w:cs="Times New Roman"/>
          <w:lang w:val="en-US"/>
        </w:rPr>
        <w:fldChar w:fldCharType="separate"/>
      </w:r>
      <w:r w:rsidRPr="00450343">
        <w:rPr>
          <w:rFonts w:ascii="Times New Roman" w:hAnsi="Times New Roman" w:cs="Times New Roman"/>
          <w:lang w:val="sv-SE"/>
        </w:rPr>
        <w:t>(2014)</w:t>
      </w:r>
      <w:r w:rsidRPr="008F78FE">
        <w:rPr>
          <w:rFonts w:ascii="Times New Roman" w:hAnsi="Times New Roman" w:cs="Times New Roman"/>
        </w:rPr>
        <w:fldChar w:fldCharType="end"/>
      </w:r>
      <w:r w:rsidRPr="00450343">
        <w:rPr>
          <w:rFonts w:ascii="Times New Roman" w:hAnsi="Times New Roman" w:cs="Times New Roman"/>
          <w:lang w:val="sv-SE"/>
        </w:rPr>
        <w:t>, karena memaksa analisis untuk menghubungkan karakteristik sistem energi dengan nilai, aktor, dan fungsi sosial yang hendak dilindungi.</w:t>
      </w:r>
    </w:p>
    <w:p w14:paraId="3EF8E1EC"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Temuan tentang Istana Siak Sri Indrapura memperkuat argumen tersebut dari sisi lain. Keteladanan Sultan Syarif Kasim II menunjukkan bahwa nilai seperti pengorbanan, integritas, orientasi </w:t>
      </w:r>
      <w:r w:rsidRPr="00450343">
        <w:rPr>
          <w:rFonts w:ascii="Times New Roman" w:hAnsi="Times New Roman" w:cs="Times New Roman"/>
          <w:lang w:val="sv-SE"/>
        </w:rPr>
        <w:t>kebangsaan, dan kepedulian terhadap masyarakat menjadi bermakna ketika diwujudkan dalam keputusan dan tindakan. Penyerahan wilayah Kesultanan Siak kepada Republik Indonesia, pengorbanan kekayaan kerajaan untuk perjuangan bangsa, dan dukungan terhadap pendidikan masyarakat dalam naskah sumber diposisikan sebagai contoh konkret orientasi kepentingan bersama. Dalam kerangka penelitian ini, sejarah tersebut penting bukan karena menyediakan model perilaku yang harus ditiru secara literal, tetapi karena menyediakan referensi normatif yang memungkinkan nilai abstrak dikenali melalui tindakan. Hal ini menjelaskan mengapa transmisi norma membutuhkan lebih dari sekadar pengajaran nilai: ia membutuhkan narasi, teladan, dan ruang sosial yang membuat nilai dapat dihubungkan dengan pilihan nyata.</w:t>
      </w:r>
    </w:p>
    <w:p w14:paraId="6CFFDE78"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Museum Sang Nila Utama menunjukkan fungsi serupa dalam bentuk yang berbeda. Koleksi artefak, naskah, dan dokumentasi sejarah menyediakan sarana untuk mempertahankan memori kolektif dan menghubungkannya dengan pembentukan identitas generasi sekarang. Temuan ini memperkuat argumen bahwa transmisi norma merupakan proses institusional, bukan sekadar proses psikologis pada individu. Namun, ia juga memperlihatkan batas mekanisme tersebut: ketika bentuk transmisi tidak mampu menjangkau generasi baru, keberadaan warisan budaya secara material belum menjamin keberlanjutan norma. Karena itu, modernisasi tidak perlu dipahami semata-mata sebagai ancaman terhadap budaya. Tantangannya adalah apakah institusi budaya mampu mengadaptasi cara transmisi tanpa kehilangan isi normatifnya. Kesultanan Siak sendiri, sebagaimana ditunjukkan dalam data, memberikan contoh historis tentang keterbukaan terhadap pengetahuan dan teknologi dari luar tanpa meninggalkan identitas Melayu.</w:t>
      </w:r>
    </w:p>
    <w:p w14:paraId="2F068EB1"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 xml:space="preserve">Implikasi praktisnya adalah bahwa kebijakan ketahanan energi perlu melihat pembangunan manusia dan pembangunan kelembagaan secara bersamaan. Kompetensi teknis tetap penting karena pengelolaan energi membutuhkan pengetahuan, keterampilan, dan kapasitas inovasi. Akan tetapi, kompetensi tidak menentukan bagaimana kapasitas tersebut digunakan. Naskah asli sendiri menegaskan bahwa </w:t>
      </w:r>
      <w:r w:rsidRPr="00450343">
        <w:rPr>
          <w:rFonts w:ascii="Times New Roman" w:hAnsi="Times New Roman" w:cs="Times New Roman"/>
          <w:lang w:val="sv-SE"/>
        </w:rPr>
        <w:lastRenderedPageBreak/>
        <w:t>sumber daya manusia yang dibutuhkan bukan hanya kompeten secara teknis, tetapi juga memiliki integritas, tanggung jawab, disiplin, dan orientasi pada kepentingan bangsa. Temuan penelitian ini memperjelas sumber dari dimensi normatif tersebut: karakter tidak perlu dibentuk dari nol, tetapi dapat dibangun melalui sumber nilai yang sudah hidup dalam masyarakat. Karena itu, pendidikan, pembinaan karakter, pelestarian sejarah, dan penguatan lembaga budaya dapat diperlakukan sebagai bagian dari ekosistem ketahanan energi, bukan sekadar agenda kebudayaan yang berdiri sendiri.</w:t>
      </w:r>
    </w:p>
    <w:p w14:paraId="299CE1C3" w14:textId="77777777" w:rsidR="00BE412A" w:rsidRPr="00450343" w:rsidRDefault="00BE412A" w:rsidP="00BE412A">
      <w:pPr>
        <w:spacing w:after="0" w:line="240" w:lineRule="auto"/>
        <w:ind w:firstLine="709"/>
        <w:jc w:val="both"/>
        <w:rPr>
          <w:rFonts w:ascii="Times New Roman" w:hAnsi="Times New Roman" w:cs="Times New Roman"/>
          <w:lang w:val="sv-SE"/>
        </w:rPr>
      </w:pPr>
      <w:r w:rsidRPr="00450343">
        <w:rPr>
          <w:rFonts w:ascii="Times New Roman" w:hAnsi="Times New Roman" w:cs="Times New Roman"/>
          <w:lang w:val="sv-SE"/>
        </w:rPr>
        <w:t>Penelitian ini harus dibaca dalam batasan-batasannya. Pertama, penelitian menggunakan studi kasus kualitatif pada konteks Melayu Riau sehingga temuan tidak dapat digeneralisasi secara statistik kepada seluruh masyarakat Indonesia. Kedua, bukti empiris terutama menunjukkan keberadaan mekanisme normatif dan relevansinya bagi tata kelola; penelitian ini belum mengukur secara langsung pengaruh nilai tersebut terhadap indikator kinerja sistem energi seperti keandalan pasokan, akses, harga, atau ketahanan infrastruktur. Ketiga, data menunjukkan adanya tantangan terhadap transmisi nilai antargenerasi, tetapi belum memungkinkan pengukuran longitudinal mengenai apakah dan seberapa cepat erosi tersebut mengubah praktik tata kelola. Batasan ini penting agar hubungan antara nilai budaya dan ketahanan energi tidak dibaca sebagai hubungan kausal yang lebih kuat daripada yang dapat ditunjukkan oleh desain penelitian.</w:t>
      </w:r>
    </w:p>
    <w:p w14:paraId="3CC0CB89" w14:textId="028DB7EE" w:rsidR="00FB4D95" w:rsidRDefault="00BE412A" w:rsidP="00BE412A">
      <w:pPr>
        <w:spacing w:after="0" w:line="240" w:lineRule="auto"/>
        <w:jc w:val="both"/>
        <w:rPr>
          <w:rFonts w:ascii="Times New Roman" w:eastAsia="Times New Roman" w:hAnsi="Times New Roman" w:cs="Times New Roman"/>
        </w:rPr>
      </w:pPr>
      <w:r w:rsidRPr="00450343">
        <w:rPr>
          <w:rFonts w:ascii="Times New Roman" w:hAnsi="Times New Roman" w:cs="Times New Roman"/>
          <w:lang w:val="sv-SE"/>
        </w:rPr>
        <w:t xml:space="preserve">Agenda riset berikutnya karena itu perlu bergerak dalam dua arah. Pertama, kita perlu melakukan studi komparatif untuk menguji apakah mekanisme transmisi norma, institusionalisasi informal, dan praktik tata kelola ini juga berlaku di komunitas lain. Membandingkan kasus ini dengan sistem adat seperti </w:t>
      </w:r>
      <w:r w:rsidRPr="00450343">
        <w:rPr>
          <w:rFonts w:ascii="Times New Roman" w:hAnsi="Times New Roman" w:cs="Times New Roman"/>
          <w:i/>
          <w:iCs/>
          <w:lang w:val="sv-SE"/>
        </w:rPr>
        <w:t>Sasi Laut</w:t>
      </w:r>
      <w:r w:rsidRPr="00450343">
        <w:rPr>
          <w:rFonts w:ascii="Times New Roman" w:hAnsi="Times New Roman" w:cs="Times New Roman"/>
          <w:lang w:val="sv-SE"/>
        </w:rPr>
        <w:t xml:space="preserve">, </w:t>
      </w:r>
      <w:r w:rsidRPr="00450343">
        <w:rPr>
          <w:rFonts w:ascii="Times New Roman" w:hAnsi="Times New Roman" w:cs="Times New Roman"/>
          <w:i/>
          <w:iCs/>
          <w:lang w:val="sv-SE"/>
        </w:rPr>
        <w:t>Awig-Awig</w:t>
      </w:r>
      <w:r w:rsidRPr="00450343">
        <w:rPr>
          <w:rFonts w:ascii="Times New Roman" w:hAnsi="Times New Roman" w:cs="Times New Roman"/>
          <w:lang w:val="sv-SE"/>
        </w:rPr>
        <w:t xml:space="preserve">, atau </w:t>
      </w:r>
      <w:r w:rsidRPr="00450343">
        <w:rPr>
          <w:rFonts w:ascii="Times New Roman" w:hAnsi="Times New Roman" w:cs="Times New Roman"/>
          <w:i/>
          <w:iCs/>
          <w:lang w:val="sv-SE"/>
        </w:rPr>
        <w:t>Panglima Laot</w:t>
      </w:r>
      <w:r w:rsidRPr="00450343">
        <w:rPr>
          <w:rFonts w:ascii="Times New Roman" w:hAnsi="Times New Roman" w:cs="Times New Roman"/>
          <w:lang w:val="sv-SE"/>
        </w:rPr>
        <w:t xml:space="preserve"> akan menjawab apakah pola tersebut bersifat universal atau khas budaya tertentu. Kedua, penelitian lanjutan harus menghubungkan mekanisme normatif ini dengan hasil tata kelola yang nyata, sehingga pengaruh kapasitas normatif masyarakat terhadap ketahanan energi dapat diuji secara langsung. Dengan kata lain, lebih dari sekadar menanyakan apakah suatu masyarakat memiliki nilai yang mendukung ketahnan, fokus kita ke depan adanya menanyakan bagaimana nilai tersebut </w:t>
      </w:r>
      <w:r w:rsidRPr="00450343">
        <w:rPr>
          <w:rFonts w:ascii="Times New Roman" w:hAnsi="Times New Roman" w:cs="Times New Roman"/>
          <w:lang w:val="sv-SE"/>
        </w:rPr>
        <w:t>bertahan, berubah menjadi norma yang mengikat, dan pada akhirnya menentukan cara kita mengelola sumber daya strategis.</w:t>
      </w:r>
    </w:p>
    <w:p w14:paraId="4B4D08DB" w14:textId="77777777" w:rsidR="00FB4D95" w:rsidRDefault="00FB4D95">
      <w:pPr>
        <w:spacing w:after="0" w:line="240" w:lineRule="auto"/>
        <w:ind w:firstLine="720"/>
        <w:jc w:val="both"/>
        <w:rPr>
          <w:rFonts w:ascii="Times New Roman" w:eastAsia="Times New Roman" w:hAnsi="Times New Roman" w:cs="Times New Roman"/>
        </w:rPr>
      </w:pPr>
    </w:p>
    <w:p w14:paraId="65599B57" w14:textId="2460815A" w:rsidR="00FB4D95" w:rsidRDefault="00084FED">
      <w:pPr>
        <w:spacing w:after="0" w:line="240" w:lineRule="auto"/>
        <w:jc w:val="both"/>
        <w:rPr>
          <w:rFonts w:ascii="Times New Roman" w:eastAsia="Times New Roman" w:hAnsi="Times New Roman" w:cs="Times New Roman"/>
          <w:b/>
          <w:color w:val="974705"/>
        </w:rPr>
      </w:pPr>
      <w:r>
        <w:rPr>
          <w:rFonts w:ascii="Times New Roman" w:eastAsia="Times New Roman" w:hAnsi="Times New Roman" w:cs="Times New Roman"/>
          <w:b/>
          <w:color w:val="974705"/>
        </w:rPr>
        <w:t>Kesimpulan</w:t>
      </w:r>
    </w:p>
    <w:p w14:paraId="20F5C0AC" w14:textId="77777777" w:rsidR="003B78DF" w:rsidRPr="00450343" w:rsidRDefault="003B78DF" w:rsidP="003B78DF">
      <w:pPr>
        <w:spacing w:after="0" w:line="240" w:lineRule="auto"/>
        <w:ind w:firstLine="709"/>
        <w:jc w:val="both"/>
        <w:rPr>
          <w:rFonts w:ascii="Times New Roman" w:eastAsia="Times New Roman" w:hAnsi="Times New Roman" w:cs="Times New Roman"/>
          <w:bCs/>
          <w:lang w:val="sv-SE"/>
        </w:rPr>
      </w:pPr>
      <w:r w:rsidRPr="00450343">
        <w:rPr>
          <w:rFonts w:ascii="Times New Roman" w:eastAsia="Times New Roman" w:hAnsi="Times New Roman" w:cs="Times New Roman"/>
          <w:bCs/>
          <w:lang w:val="sv-SE"/>
        </w:rPr>
        <w:t>Selama ini kita sering berasumsi bahwa nilai budaya secara otomatis membangun ketahanan energi hanya dengan membentuk karakter individu. Namun, pandangan ini melewatkan bagaimana nilai-nilai tersebut sebenarnya bekerja di masyarakat. Dalam kasus Melayu Riau, nilai kejuangan mendorong ketahanan energi melalui proses sosial yang nyata, di mana nilai-nilai ini ditransmisikan melalui institusi budaya, diubah menjadi aturan sosial informal, dan akhirnya diterapkan dalam pengelolaan sumber daya. Pendekatan ini menjawab celah dalam kerangka energi konvensional yang terlalu fokus pada pasokan dan harga tetapi mengabaikan “infrastruktur normatif”, yaitu kewajiban dan nilai sosial yang sebenarnya mengarahkan bagaimana sumber daya dikelola.</w:t>
      </w:r>
    </w:p>
    <w:p w14:paraId="0EED5024" w14:textId="77777777" w:rsidR="003B78DF" w:rsidRPr="00450343" w:rsidRDefault="003B78DF" w:rsidP="003B78DF">
      <w:pPr>
        <w:spacing w:after="0" w:line="240" w:lineRule="auto"/>
        <w:ind w:firstLine="709"/>
        <w:jc w:val="both"/>
        <w:rPr>
          <w:rFonts w:ascii="Times New Roman" w:eastAsia="Times New Roman" w:hAnsi="Times New Roman" w:cs="Times New Roman"/>
          <w:bCs/>
          <w:lang w:val="sv-SE"/>
        </w:rPr>
      </w:pPr>
      <w:r w:rsidRPr="00450343">
        <w:rPr>
          <w:rFonts w:ascii="Times New Roman" w:eastAsia="Times New Roman" w:hAnsi="Times New Roman" w:cs="Times New Roman"/>
          <w:bCs/>
          <w:lang w:val="sv-SE"/>
        </w:rPr>
        <w:t>Artikel ini tentunya tidak mengklaim budaya Melayu Riau sebagai satu-satunya penentu ketahanan energi nasional. Kontribusi utamanya adalah memetakan mekanisme yang menghubungkan nilai lokal dengan tata kelola sumber daya. Dengan menunjukkan bagaimana nilai ditransmisikan dan diterapkan, kita dapat melihat keterkaitan erat antara keamanan energi dan keamanan sosial. Jika kita hanya berfokus pada pasokan energi fisik, kita akan melewatkan lapisan sosial yang krusial ini. Lebih jauh lagi, kita menyadari bahwa memudarnya norma budaya bukan sekadar kerugian kultural, melainkan kerentanan langsung terhadap ketahanan energi. Oleh karena itu, melestarikan budaya dan mengamankan energi bukanlah dua agenda yang terpisah, melainkan satu kesatuan proses.</w:t>
      </w:r>
    </w:p>
    <w:p w14:paraId="6EC00215" w14:textId="41283DC2" w:rsidR="00FB4D95" w:rsidRDefault="003B78DF" w:rsidP="003B78DF">
      <w:pPr>
        <w:widowControl w:val="0"/>
        <w:spacing w:before="40" w:after="80" w:line="240" w:lineRule="auto"/>
        <w:ind w:firstLine="720"/>
        <w:jc w:val="both"/>
        <w:rPr>
          <w:rFonts w:ascii="Times New Roman" w:eastAsia="Times New Roman" w:hAnsi="Times New Roman" w:cs="Times New Roman"/>
          <w:color w:val="000000"/>
        </w:rPr>
      </w:pPr>
      <w:r w:rsidRPr="00450343">
        <w:rPr>
          <w:rFonts w:ascii="Times New Roman" w:eastAsia="Times New Roman" w:hAnsi="Times New Roman" w:cs="Times New Roman"/>
          <w:bCs/>
          <w:lang w:val="sv-SE"/>
        </w:rPr>
        <w:t xml:space="preserve">Pemahaman ini menuntut pergeseran dalam perumusan kebijakan. Membangun infrastruktur fisik dan menguasai teknologi tidak akan cukup jika kita mengabaikan aturan sosial yang menopang pengelolaan sumber daya. Pembuat kebijakan harus secara sadar membangun infrastruktur normatif ini melalui pendidikan karakter, literasi sejarah, dan kolaborasi dengan lembaga adat. Pada akhirnya, ketahanan energi bukan sekadar </w:t>
      </w:r>
      <w:r w:rsidRPr="00450343">
        <w:rPr>
          <w:rFonts w:ascii="Times New Roman" w:eastAsia="Times New Roman" w:hAnsi="Times New Roman" w:cs="Times New Roman"/>
          <w:bCs/>
          <w:lang w:val="sv-SE"/>
        </w:rPr>
        <w:lastRenderedPageBreak/>
        <w:t>soal apakah energi itu tersedia atau terjangkau. Ini adalah soal apakah masyarakat memiliki norma bersama untuk mengelola sumber daya secara bertanggung jawab. Ketika transmisi nilai-nilai ini melemah, kapasitas kita untuk mengelola energi secara berkelanjutan juga akan ikut terputus.</w:t>
      </w:r>
      <w:r>
        <w:rPr>
          <w:rFonts w:ascii="Times New Roman" w:eastAsia="Times New Roman" w:hAnsi="Times New Roman" w:cs="Times New Roman"/>
          <w:color w:val="000000"/>
        </w:rPr>
        <w:t xml:space="preserve"> </w:t>
      </w:r>
    </w:p>
    <w:p w14:paraId="571CDC15" w14:textId="77777777" w:rsidR="00FB4D95" w:rsidRDefault="00FB4D95">
      <w:pPr>
        <w:widowControl w:val="0"/>
        <w:spacing w:before="40" w:after="80" w:line="240" w:lineRule="auto"/>
        <w:ind w:firstLine="720"/>
        <w:jc w:val="both"/>
        <w:rPr>
          <w:rFonts w:ascii="Times New Roman" w:eastAsia="Times New Roman" w:hAnsi="Times New Roman" w:cs="Times New Roman"/>
          <w:color w:val="000000"/>
        </w:rPr>
      </w:pPr>
    </w:p>
    <w:p w14:paraId="09340698" w14:textId="2DFDB615" w:rsidR="00FB4D95" w:rsidRDefault="00084FED">
      <w:pPr>
        <w:widowControl w:val="0"/>
        <w:spacing w:after="0" w:line="240" w:lineRule="auto"/>
        <w:jc w:val="both"/>
        <w:rPr>
          <w:rFonts w:ascii="Times New Roman" w:eastAsia="Times New Roman" w:hAnsi="Times New Roman" w:cs="Times New Roman"/>
          <w:b/>
        </w:rPr>
      </w:pPr>
      <w:r>
        <w:rPr>
          <w:rFonts w:ascii="Times New Roman" w:eastAsia="Times New Roman" w:hAnsi="Times New Roman" w:cs="Times New Roman"/>
          <w:b/>
          <w:color w:val="974705"/>
        </w:rPr>
        <w:t>Daftar Pustaka</w:t>
      </w:r>
    </w:p>
    <w:p w14:paraId="2C76937E"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Pr>
          <w:rFonts w:eastAsia="Times New Roman"/>
        </w:rPr>
        <w:fldChar w:fldCharType="begin"/>
      </w:r>
      <w:r>
        <w:rPr>
          <w:rFonts w:eastAsia="Times New Roman"/>
        </w:rPr>
        <w:instrText xml:space="preserve"> ADDIN ZOTERO_BIBL {"uncited":[],"omitted":[],"custom":[]} CSL_BIBLIOGRAPHY </w:instrText>
      </w:r>
      <w:r>
        <w:rPr>
          <w:rFonts w:eastAsia="Times New Roman"/>
        </w:rPr>
        <w:fldChar w:fldCharType="separate"/>
      </w:r>
      <w:r w:rsidRPr="008F78FE">
        <w:rPr>
          <w:rFonts w:ascii="Times New Roman" w:hAnsi="Times New Roman" w:cs="Times New Roman"/>
        </w:rPr>
        <w:t xml:space="preserve">Ainou, F. Z., Ali, M., &amp; Sadiq, M. (2023). Green energy security assessment in Morocco: Green finance as a step toward sustainable energy transition. </w:t>
      </w:r>
      <w:r w:rsidRPr="008F78FE">
        <w:rPr>
          <w:rFonts w:ascii="Times New Roman" w:hAnsi="Times New Roman" w:cs="Times New Roman"/>
          <w:i/>
          <w:iCs/>
        </w:rPr>
        <w:t>Environmental Science and Pollution Research</w:t>
      </w:r>
      <w:r w:rsidRPr="008F78FE">
        <w:rPr>
          <w:rFonts w:ascii="Times New Roman" w:hAnsi="Times New Roman" w:cs="Times New Roman"/>
        </w:rPr>
        <w:t xml:space="preserve">, </w:t>
      </w:r>
      <w:r w:rsidRPr="008F78FE">
        <w:rPr>
          <w:rFonts w:ascii="Times New Roman" w:hAnsi="Times New Roman" w:cs="Times New Roman"/>
          <w:i/>
          <w:iCs/>
        </w:rPr>
        <w:t>30</w:t>
      </w:r>
      <w:r w:rsidRPr="008F78FE">
        <w:rPr>
          <w:rFonts w:ascii="Times New Roman" w:hAnsi="Times New Roman" w:cs="Times New Roman"/>
        </w:rPr>
        <w:t>(22), 61411–61429. https://doi.org/10.1007/s11356-022-19153-7</w:t>
      </w:r>
    </w:p>
    <w:p w14:paraId="5C0505FD"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Amin, S. B., Chang, Y., Khan, F., &amp; Taghizadeh-Hesary, F. (2022). Energy security and sustainable energy policy in Bangladesh: From the lens of 4As framework. </w:t>
      </w:r>
      <w:r w:rsidRPr="008F78FE">
        <w:rPr>
          <w:rFonts w:ascii="Times New Roman" w:hAnsi="Times New Roman" w:cs="Times New Roman"/>
          <w:i/>
          <w:iCs/>
        </w:rPr>
        <w:t>Energy Policy</w:t>
      </w:r>
      <w:r w:rsidRPr="008F78FE">
        <w:rPr>
          <w:rFonts w:ascii="Times New Roman" w:hAnsi="Times New Roman" w:cs="Times New Roman"/>
        </w:rPr>
        <w:t xml:space="preserve">, </w:t>
      </w:r>
      <w:r w:rsidRPr="008F78FE">
        <w:rPr>
          <w:rFonts w:ascii="Times New Roman" w:hAnsi="Times New Roman" w:cs="Times New Roman"/>
          <w:i/>
          <w:iCs/>
        </w:rPr>
        <w:t>161</w:t>
      </w:r>
      <w:r w:rsidRPr="008F78FE">
        <w:rPr>
          <w:rFonts w:ascii="Times New Roman" w:hAnsi="Times New Roman" w:cs="Times New Roman"/>
        </w:rPr>
        <w:t>, 112719. https://doi.org/10.1016/j.enpol.2021.112719</w:t>
      </w:r>
    </w:p>
    <w:p w14:paraId="47C3A41C"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Buzan, B., Waever, O., &amp; Wilde, J. de. (2022). </w:t>
      </w:r>
      <w:r w:rsidRPr="008F78FE">
        <w:rPr>
          <w:rFonts w:ascii="Times New Roman" w:hAnsi="Times New Roman" w:cs="Times New Roman"/>
          <w:i/>
          <w:iCs/>
        </w:rPr>
        <w:t>Security: A new framework for analysis</w:t>
      </w:r>
      <w:r w:rsidRPr="008F78FE">
        <w:rPr>
          <w:rFonts w:ascii="Times New Roman" w:hAnsi="Times New Roman" w:cs="Times New Roman"/>
        </w:rPr>
        <w:t>. Boulder London: Lynne Rienner Publishers. https://doi.org/10.1515/9781685853808</w:t>
      </w:r>
    </w:p>
    <w:p w14:paraId="377BA0E9"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Cherp, A., &amp; Jewell, J. (2014). The concept of energy security: Beyond the four A’s. </w:t>
      </w:r>
      <w:r w:rsidRPr="008F78FE">
        <w:rPr>
          <w:rFonts w:ascii="Times New Roman" w:hAnsi="Times New Roman" w:cs="Times New Roman"/>
          <w:i/>
          <w:iCs/>
        </w:rPr>
        <w:t>Energy Policy</w:t>
      </w:r>
      <w:r w:rsidRPr="008F78FE">
        <w:rPr>
          <w:rFonts w:ascii="Times New Roman" w:hAnsi="Times New Roman" w:cs="Times New Roman"/>
        </w:rPr>
        <w:t xml:space="preserve">, </w:t>
      </w:r>
      <w:r w:rsidRPr="008F78FE">
        <w:rPr>
          <w:rFonts w:ascii="Times New Roman" w:hAnsi="Times New Roman" w:cs="Times New Roman"/>
          <w:i/>
          <w:iCs/>
        </w:rPr>
        <w:t>75</w:t>
      </w:r>
      <w:r w:rsidRPr="008F78FE">
        <w:rPr>
          <w:rFonts w:ascii="Times New Roman" w:hAnsi="Times New Roman" w:cs="Times New Roman"/>
        </w:rPr>
        <w:t>, 415–421. https://doi.org/10.1016/j.enpol.2014.09.005</w:t>
      </w:r>
    </w:p>
    <w:p w14:paraId="1CD8E336"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Engwicht, N., &amp; Grabek, J. (2019). A human security perspective on natural resource governance: What makes reforms effective? </w:t>
      </w:r>
      <w:r w:rsidRPr="008F78FE">
        <w:rPr>
          <w:rFonts w:ascii="Times New Roman" w:hAnsi="Times New Roman" w:cs="Times New Roman"/>
          <w:i/>
          <w:iCs/>
        </w:rPr>
        <w:t>South African Journal of International Affairs</w:t>
      </w:r>
      <w:r w:rsidRPr="008F78FE">
        <w:rPr>
          <w:rFonts w:ascii="Times New Roman" w:hAnsi="Times New Roman" w:cs="Times New Roman"/>
        </w:rPr>
        <w:t xml:space="preserve">, </w:t>
      </w:r>
      <w:r w:rsidRPr="008F78FE">
        <w:rPr>
          <w:rFonts w:ascii="Times New Roman" w:hAnsi="Times New Roman" w:cs="Times New Roman"/>
          <w:i/>
          <w:iCs/>
        </w:rPr>
        <w:t>26</w:t>
      </w:r>
      <w:r w:rsidRPr="008F78FE">
        <w:rPr>
          <w:rFonts w:ascii="Times New Roman" w:hAnsi="Times New Roman" w:cs="Times New Roman"/>
        </w:rPr>
        <w:t>(2), 185–207. https://doi.org/10.1080/10220461.2019.1607545</w:t>
      </w:r>
    </w:p>
    <w:p w14:paraId="47915CEB"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Fouladvand, J. (2022). Behavioural attributes towards collective energy security in thermal energy communities: Environmental-friendly behaviour matters. </w:t>
      </w:r>
      <w:r w:rsidRPr="008F78FE">
        <w:rPr>
          <w:rFonts w:ascii="Times New Roman" w:hAnsi="Times New Roman" w:cs="Times New Roman"/>
          <w:i/>
          <w:iCs/>
        </w:rPr>
        <w:t>Energy</w:t>
      </w:r>
      <w:r w:rsidRPr="008F78FE">
        <w:rPr>
          <w:rFonts w:ascii="Times New Roman" w:hAnsi="Times New Roman" w:cs="Times New Roman"/>
        </w:rPr>
        <w:t xml:space="preserve">, </w:t>
      </w:r>
      <w:r w:rsidRPr="008F78FE">
        <w:rPr>
          <w:rFonts w:ascii="Times New Roman" w:hAnsi="Times New Roman" w:cs="Times New Roman"/>
          <w:i/>
          <w:iCs/>
        </w:rPr>
        <w:t>261</w:t>
      </w:r>
      <w:r w:rsidRPr="008F78FE">
        <w:rPr>
          <w:rFonts w:ascii="Times New Roman" w:hAnsi="Times New Roman" w:cs="Times New Roman"/>
        </w:rPr>
        <w:t>, 125353. https://doi.org/10.1016/j.energy.2022.125353</w:t>
      </w:r>
    </w:p>
    <w:p w14:paraId="2EA67618"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Goldthau, A., &amp; Sovacool, B. K. (2012). The uniqueness of the energy security, </w:t>
      </w:r>
      <w:r w:rsidRPr="008F78FE">
        <w:rPr>
          <w:rFonts w:ascii="Times New Roman" w:hAnsi="Times New Roman" w:cs="Times New Roman"/>
        </w:rPr>
        <w:t xml:space="preserve">justice, and governance problem. </w:t>
      </w:r>
      <w:r w:rsidRPr="008F78FE">
        <w:rPr>
          <w:rFonts w:ascii="Times New Roman" w:hAnsi="Times New Roman" w:cs="Times New Roman"/>
          <w:i/>
          <w:iCs/>
        </w:rPr>
        <w:t>Energy Policy</w:t>
      </w:r>
      <w:r w:rsidRPr="008F78FE">
        <w:rPr>
          <w:rFonts w:ascii="Times New Roman" w:hAnsi="Times New Roman" w:cs="Times New Roman"/>
        </w:rPr>
        <w:t xml:space="preserve">, </w:t>
      </w:r>
      <w:r w:rsidRPr="008F78FE">
        <w:rPr>
          <w:rFonts w:ascii="Times New Roman" w:hAnsi="Times New Roman" w:cs="Times New Roman"/>
          <w:i/>
          <w:iCs/>
        </w:rPr>
        <w:t>41</w:t>
      </w:r>
      <w:r w:rsidRPr="008F78FE">
        <w:rPr>
          <w:rFonts w:ascii="Times New Roman" w:hAnsi="Times New Roman" w:cs="Times New Roman"/>
        </w:rPr>
        <w:t>, 232–240. https://doi.org/10.1016/j.enpol.2011.10.042</w:t>
      </w:r>
    </w:p>
    <w:p w14:paraId="430D3E93"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Jibat, E., Senbeta, F., Zeleke, T., &amp; Hagos, F. (2023). The role and interplay of institutions in water governance in the Central Rift Valley of Ethiopia. </w:t>
      </w:r>
      <w:r w:rsidRPr="008F78FE">
        <w:rPr>
          <w:rFonts w:ascii="Times New Roman" w:hAnsi="Times New Roman" w:cs="Times New Roman"/>
          <w:i/>
          <w:iCs/>
        </w:rPr>
        <w:t>F1000Research</w:t>
      </w:r>
      <w:r w:rsidRPr="008F78FE">
        <w:rPr>
          <w:rFonts w:ascii="Times New Roman" w:hAnsi="Times New Roman" w:cs="Times New Roman"/>
        </w:rPr>
        <w:t xml:space="preserve">, </w:t>
      </w:r>
      <w:r w:rsidRPr="008F78FE">
        <w:rPr>
          <w:rFonts w:ascii="Times New Roman" w:hAnsi="Times New Roman" w:cs="Times New Roman"/>
          <w:i/>
          <w:iCs/>
        </w:rPr>
        <w:t>12</w:t>
      </w:r>
      <w:r w:rsidRPr="008F78FE">
        <w:rPr>
          <w:rFonts w:ascii="Times New Roman" w:hAnsi="Times New Roman" w:cs="Times New Roman"/>
        </w:rPr>
        <w:t>, 1434. https://doi.org/10.12688/f1000research.138939.1</w:t>
      </w:r>
    </w:p>
    <w:p w14:paraId="6E266EA8"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Kementerian Energi dan Sumber Daya Mineral Republik Indonesia. (2022a). </w:t>
      </w:r>
      <w:r w:rsidRPr="008F78FE">
        <w:rPr>
          <w:rFonts w:ascii="Times New Roman" w:hAnsi="Times New Roman" w:cs="Times New Roman"/>
          <w:i/>
          <w:iCs/>
        </w:rPr>
        <w:t>Cegah Kerugian Negara Semakin Besar, Pembentukan Unit Penegakan Hukum Di KESDM Adalah Keniscayaan</w:t>
      </w:r>
      <w:r w:rsidRPr="008F78FE">
        <w:rPr>
          <w:rFonts w:ascii="Times New Roman" w:hAnsi="Times New Roman" w:cs="Times New Roman"/>
        </w:rPr>
        <w:t xml:space="preserve"> (Siaran Pers Nomor No. 316.Pers/04/SJI/2022). Kementerian ESDM. Diambil dari Kementerian ESDM website: https://www.esdm.go.id/id/media-center/arsip-berita/cegah-kerugian-negara-semakin-besar-pembentukan-unit-penegakan-hukum-di-kesdm-adalah-keniscayaan</w:t>
      </w:r>
    </w:p>
    <w:p w14:paraId="53701A64"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Kementerian Energi dan Sumber Daya Mineral Republik Indonesia. (2022b). </w:t>
      </w:r>
      <w:r w:rsidRPr="008F78FE">
        <w:rPr>
          <w:rFonts w:ascii="Times New Roman" w:hAnsi="Times New Roman" w:cs="Times New Roman"/>
          <w:i/>
          <w:iCs/>
        </w:rPr>
        <w:t>Pertambangan Tanpa Izin Perlu Menjadi Perhatian Bersama</w:t>
      </w:r>
      <w:r w:rsidRPr="008F78FE">
        <w:rPr>
          <w:rFonts w:ascii="Times New Roman" w:hAnsi="Times New Roman" w:cs="Times New Roman"/>
        </w:rPr>
        <w:t xml:space="preserve"> (Siaran Pers Nomor No. 259.Pers/04/SJI/2022). Kementerian ESDM. Diambil dari Kementerian ESDM website: https://www.esdm.go.id/id/media-center/arsip-berita/pertambangan-tanpa-izin-perlu-menjadi-perhatian-bersama</w:t>
      </w:r>
    </w:p>
    <w:p w14:paraId="0EB155CF"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Kementerian Energi dan Sumber Daya Mineral Republik Indonesia. (2025). </w:t>
      </w:r>
      <w:r w:rsidRPr="008F78FE">
        <w:rPr>
          <w:rFonts w:ascii="Times New Roman" w:hAnsi="Times New Roman" w:cs="Times New Roman"/>
          <w:i/>
          <w:iCs/>
        </w:rPr>
        <w:t>Handbook of Energy &amp; Economy Statistics of Indonesia</w:t>
      </w:r>
      <w:r w:rsidRPr="008F78FE">
        <w:rPr>
          <w:rFonts w:ascii="Times New Roman" w:hAnsi="Times New Roman" w:cs="Times New Roman"/>
        </w:rPr>
        <w:t>. Jakarta: Kementerian ESDM.</w:t>
      </w:r>
    </w:p>
    <w:p w14:paraId="443593C1"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Liebenguth, J. (2020). Conceptions of Security in Global Environmental Discourses: Exploring the Water-Energy-Food Security Nexus. </w:t>
      </w:r>
      <w:r w:rsidRPr="008F78FE">
        <w:rPr>
          <w:rFonts w:ascii="Times New Roman" w:hAnsi="Times New Roman" w:cs="Times New Roman"/>
          <w:i/>
          <w:iCs/>
        </w:rPr>
        <w:t>Critical Studies on Security</w:t>
      </w:r>
      <w:r w:rsidRPr="008F78FE">
        <w:rPr>
          <w:rFonts w:ascii="Times New Roman" w:hAnsi="Times New Roman" w:cs="Times New Roman"/>
        </w:rPr>
        <w:t xml:space="preserve">, </w:t>
      </w:r>
      <w:r w:rsidRPr="008F78FE">
        <w:rPr>
          <w:rFonts w:ascii="Times New Roman" w:hAnsi="Times New Roman" w:cs="Times New Roman"/>
          <w:i/>
          <w:iCs/>
        </w:rPr>
        <w:t>8</w:t>
      </w:r>
      <w:r w:rsidRPr="008F78FE">
        <w:rPr>
          <w:rFonts w:ascii="Times New Roman" w:hAnsi="Times New Roman" w:cs="Times New Roman"/>
        </w:rPr>
        <w:t>(3), 189–202. https://doi.org/10.1080/21624887.2020.1754713</w:t>
      </w:r>
    </w:p>
    <w:p w14:paraId="56723DBC"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Panić, B. (2009). Societal Security – Security And Identity. </w:t>
      </w:r>
      <w:r w:rsidRPr="008F78FE">
        <w:rPr>
          <w:rFonts w:ascii="Times New Roman" w:hAnsi="Times New Roman" w:cs="Times New Roman"/>
          <w:i/>
          <w:iCs/>
        </w:rPr>
        <w:t>Western Balkans Security Observer - English Edition</w:t>
      </w:r>
      <w:r w:rsidRPr="008F78FE">
        <w:rPr>
          <w:rFonts w:ascii="Times New Roman" w:hAnsi="Times New Roman" w:cs="Times New Roman"/>
        </w:rPr>
        <w:t>, (13), 28–39.</w:t>
      </w:r>
    </w:p>
    <w:p w14:paraId="77B74157"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Paravantis, J. A., &amp; Kontoulis, N. (2020). Energy Security and Renewable </w:t>
      </w:r>
      <w:r w:rsidRPr="008F78FE">
        <w:rPr>
          <w:rFonts w:ascii="Times New Roman" w:hAnsi="Times New Roman" w:cs="Times New Roman"/>
        </w:rPr>
        <w:lastRenderedPageBreak/>
        <w:t xml:space="preserve">Energy: A Geopolitical Perspective. Dalam M. Al Qubeissi, A. El-kharouf, &amp; H. Serhad Soyhan (Ed.), </w:t>
      </w:r>
      <w:r w:rsidRPr="008F78FE">
        <w:rPr>
          <w:rFonts w:ascii="Times New Roman" w:hAnsi="Times New Roman" w:cs="Times New Roman"/>
          <w:i/>
          <w:iCs/>
        </w:rPr>
        <w:t>Renewable Energy—Resources, Challenges and Applications</w:t>
      </w:r>
      <w:r w:rsidRPr="008F78FE">
        <w:rPr>
          <w:rFonts w:ascii="Times New Roman" w:hAnsi="Times New Roman" w:cs="Times New Roman"/>
        </w:rPr>
        <w:t>. IntechOpen. https://doi.org/10.5772/intechopen.91848</w:t>
      </w:r>
    </w:p>
    <w:p w14:paraId="4C52A3F6"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Po, J. Y. T., Saint Ville, A. S., Rahman, H. M. T., &amp; Hickey, G. M. (2019). On Institutional Diversity and Interplay in Natural Resource Governance. </w:t>
      </w:r>
      <w:r w:rsidRPr="008F78FE">
        <w:rPr>
          <w:rFonts w:ascii="Times New Roman" w:hAnsi="Times New Roman" w:cs="Times New Roman"/>
          <w:i/>
          <w:iCs/>
        </w:rPr>
        <w:t>Society &amp; Natural Resources</w:t>
      </w:r>
      <w:r w:rsidRPr="008F78FE">
        <w:rPr>
          <w:rFonts w:ascii="Times New Roman" w:hAnsi="Times New Roman" w:cs="Times New Roman"/>
        </w:rPr>
        <w:t xml:space="preserve">, </w:t>
      </w:r>
      <w:r w:rsidRPr="008F78FE">
        <w:rPr>
          <w:rFonts w:ascii="Times New Roman" w:hAnsi="Times New Roman" w:cs="Times New Roman"/>
          <w:i/>
          <w:iCs/>
        </w:rPr>
        <w:t>32</w:t>
      </w:r>
      <w:r w:rsidRPr="008F78FE">
        <w:rPr>
          <w:rFonts w:ascii="Times New Roman" w:hAnsi="Times New Roman" w:cs="Times New Roman"/>
        </w:rPr>
        <w:t>(12), 1333–1343. https://doi.org/10.1080/08941920.2019.1667463</w:t>
      </w:r>
    </w:p>
    <w:p w14:paraId="1968E9DD"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Rhinard, M. (2020). Societal security in theory and practice. Dalam S. Larsson &amp; M. Rhinard, </w:t>
      </w:r>
      <w:r w:rsidRPr="008F78FE">
        <w:rPr>
          <w:rFonts w:ascii="Times New Roman" w:hAnsi="Times New Roman" w:cs="Times New Roman"/>
          <w:i/>
          <w:iCs/>
        </w:rPr>
        <w:t>Nordic Societal Security</w:t>
      </w:r>
      <w:r w:rsidRPr="008F78FE">
        <w:rPr>
          <w:rFonts w:ascii="Times New Roman" w:hAnsi="Times New Roman" w:cs="Times New Roman"/>
        </w:rPr>
        <w:t xml:space="preserve"> (1 ed., hlm. 22–42). London: Routledge. https://doi.org/10.4324/9781003045533-3</w:t>
      </w:r>
    </w:p>
    <w:p w14:paraId="68E0806D"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Schmitz, R., Flachsbarth, F., Plaga, L. S., Braun, M., &amp; Härtel, P. (2025). Energy security and resilience: Revisiting concepts and advancing planning perspectives for transforming integrated energy systems. </w:t>
      </w:r>
      <w:r w:rsidRPr="008F78FE">
        <w:rPr>
          <w:rFonts w:ascii="Times New Roman" w:hAnsi="Times New Roman" w:cs="Times New Roman"/>
          <w:i/>
          <w:iCs/>
        </w:rPr>
        <w:t>Energy Policy</w:t>
      </w:r>
      <w:r w:rsidRPr="008F78FE">
        <w:rPr>
          <w:rFonts w:ascii="Times New Roman" w:hAnsi="Times New Roman" w:cs="Times New Roman"/>
        </w:rPr>
        <w:t xml:space="preserve">, </w:t>
      </w:r>
      <w:r w:rsidRPr="008F78FE">
        <w:rPr>
          <w:rFonts w:ascii="Times New Roman" w:hAnsi="Times New Roman" w:cs="Times New Roman"/>
          <w:i/>
          <w:iCs/>
        </w:rPr>
        <w:t>207</w:t>
      </w:r>
      <w:r w:rsidRPr="008F78FE">
        <w:rPr>
          <w:rFonts w:ascii="Times New Roman" w:hAnsi="Times New Roman" w:cs="Times New Roman"/>
        </w:rPr>
        <w:t>, 114796. https://doi.org/10.1016/j.enpol.2025.114796</w:t>
      </w:r>
    </w:p>
    <w:p w14:paraId="07ABB7D5"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Schnegg, M. (2018). Institutional multiplexity: Social networks and community-based natural resource management. </w:t>
      </w:r>
      <w:r w:rsidRPr="008F78FE">
        <w:rPr>
          <w:rFonts w:ascii="Times New Roman" w:hAnsi="Times New Roman" w:cs="Times New Roman"/>
          <w:i/>
          <w:iCs/>
        </w:rPr>
        <w:t>Sustainability Science</w:t>
      </w:r>
      <w:r w:rsidRPr="008F78FE">
        <w:rPr>
          <w:rFonts w:ascii="Times New Roman" w:hAnsi="Times New Roman" w:cs="Times New Roman"/>
        </w:rPr>
        <w:t xml:space="preserve">, </w:t>
      </w:r>
      <w:r w:rsidRPr="008F78FE">
        <w:rPr>
          <w:rFonts w:ascii="Times New Roman" w:hAnsi="Times New Roman" w:cs="Times New Roman"/>
          <w:i/>
          <w:iCs/>
        </w:rPr>
        <w:t>13</w:t>
      </w:r>
      <w:r w:rsidRPr="008F78FE">
        <w:rPr>
          <w:rFonts w:ascii="Times New Roman" w:hAnsi="Times New Roman" w:cs="Times New Roman"/>
        </w:rPr>
        <w:t>(4), 1017–1030. https://doi.org/10.1007/s11625-018-0549-2</w:t>
      </w:r>
    </w:p>
    <w:p w14:paraId="61B81EE0"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Siksnelyte-Butkiene, I. (2023). Defining the Perception of Energy Security: An Overview. </w:t>
      </w:r>
      <w:r w:rsidRPr="008F78FE">
        <w:rPr>
          <w:rFonts w:ascii="Times New Roman" w:hAnsi="Times New Roman" w:cs="Times New Roman"/>
          <w:i/>
          <w:iCs/>
        </w:rPr>
        <w:t>Economies</w:t>
      </w:r>
      <w:r w:rsidRPr="008F78FE">
        <w:rPr>
          <w:rFonts w:ascii="Times New Roman" w:hAnsi="Times New Roman" w:cs="Times New Roman"/>
        </w:rPr>
        <w:t xml:space="preserve">, </w:t>
      </w:r>
      <w:r w:rsidRPr="008F78FE">
        <w:rPr>
          <w:rFonts w:ascii="Times New Roman" w:hAnsi="Times New Roman" w:cs="Times New Roman"/>
          <w:i/>
          <w:iCs/>
        </w:rPr>
        <w:t>11</w:t>
      </w:r>
      <w:r w:rsidRPr="008F78FE">
        <w:rPr>
          <w:rFonts w:ascii="Times New Roman" w:hAnsi="Times New Roman" w:cs="Times New Roman"/>
        </w:rPr>
        <w:t>(7), 174. https://doi.org/10.3390/economies11070174</w:t>
      </w:r>
    </w:p>
    <w:p w14:paraId="6F854F90"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Timmermann, C., &amp; Noboa, E. (2022). Energy Sovereignty: A Values-Based Conceptual Analysis. </w:t>
      </w:r>
      <w:r w:rsidRPr="008F78FE">
        <w:rPr>
          <w:rFonts w:ascii="Times New Roman" w:hAnsi="Times New Roman" w:cs="Times New Roman"/>
          <w:i/>
          <w:iCs/>
        </w:rPr>
        <w:t>Science and Engineering Ethics</w:t>
      </w:r>
      <w:r w:rsidRPr="008F78FE">
        <w:rPr>
          <w:rFonts w:ascii="Times New Roman" w:hAnsi="Times New Roman" w:cs="Times New Roman"/>
        </w:rPr>
        <w:t xml:space="preserve">, </w:t>
      </w:r>
      <w:r w:rsidRPr="008F78FE">
        <w:rPr>
          <w:rFonts w:ascii="Times New Roman" w:hAnsi="Times New Roman" w:cs="Times New Roman"/>
          <w:i/>
          <w:iCs/>
        </w:rPr>
        <w:t>28</w:t>
      </w:r>
      <w:r w:rsidRPr="008F78FE">
        <w:rPr>
          <w:rFonts w:ascii="Times New Roman" w:hAnsi="Times New Roman" w:cs="Times New Roman"/>
        </w:rPr>
        <w:t>(6), 54. https://doi.org/10.1007/s11948-022-00409-x</w:t>
      </w:r>
    </w:p>
    <w:p w14:paraId="684A3F7F"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Yami, M., Vogl, C., &amp; Hauser, M. (2009). Comparing the Effectiveness of Informal and Formal Institutions in Sustainable Common Pool Resources Management in Sub-Saharan Africa. </w:t>
      </w:r>
      <w:r w:rsidRPr="008F78FE">
        <w:rPr>
          <w:rFonts w:ascii="Times New Roman" w:hAnsi="Times New Roman" w:cs="Times New Roman"/>
          <w:i/>
          <w:iCs/>
        </w:rPr>
        <w:t xml:space="preserve">Conservation and </w:t>
      </w:r>
      <w:r w:rsidRPr="008F78FE">
        <w:rPr>
          <w:rFonts w:ascii="Times New Roman" w:hAnsi="Times New Roman" w:cs="Times New Roman"/>
          <w:i/>
          <w:iCs/>
        </w:rPr>
        <w:t>Society</w:t>
      </w:r>
      <w:r w:rsidRPr="008F78FE">
        <w:rPr>
          <w:rFonts w:ascii="Times New Roman" w:hAnsi="Times New Roman" w:cs="Times New Roman"/>
        </w:rPr>
        <w:t xml:space="preserve">, </w:t>
      </w:r>
      <w:r w:rsidRPr="008F78FE">
        <w:rPr>
          <w:rFonts w:ascii="Times New Roman" w:hAnsi="Times New Roman" w:cs="Times New Roman"/>
          <w:i/>
          <w:iCs/>
        </w:rPr>
        <w:t>7</w:t>
      </w:r>
      <w:r w:rsidRPr="008F78FE">
        <w:rPr>
          <w:rFonts w:ascii="Times New Roman" w:hAnsi="Times New Roman" w:cs="Times New Roman"/>
        </w:rPr>
        <w:t>(3), 153. https://doi.org/10.4103/0972-4923.64731</w:t>
      </w:r>
    </w:p>
    <w:p w14:paraId="0372D278" w14:textId="77777777" w:rsidR="003B78DF" w:rsidRPr="008F78FE" w:rsidRDefault="003B78DF" w:rsidP="003B78DF">
      <w:pPr>
        <w:pStyle w:val="Bibliography"/>
        <w:spacing w:after="0" w:line="240" w:lineRule="auto"/>
        <w:ind w:left="720" w:hanging="720"/>
        <w:jc w:val="both"/>
        <w:rPr>
          <w:rFonts w:ascii="Times New Roman" w:hAnsi="Times New Roman" w:cs="Times New Roman"/>
        </w:rPr>
      </w:pPr>
      <w:r w:rsidRPr="008F78FE">
        <w:rPr>
          <w:rFonts w:ascii="Times New Roman" w:hAnsi="Times New Roman" w:cs="Times New Roman"/>
        </w:rPr>
        <w:t xml:space="preserve">Ye, R., Yang, X., Zhou, Y., Lin, C., Chen, Y., Chen, J., &amp; Bian, M. (2025). Energy demand security in OPEC+ countries: A revised 4As framework beyond supply security. </w:t>
      </w:r>
      <w:r w:rsidRPr="008F78FE">
        <w:rPr>
          <w:rFonts w:ascii="Times New Roman" w:hAnsi="Times New Roman" w:cs="Times New Roman"/>
          <w:i/>
          <w:iCs/>
        </w:rPr>
        <w:t>Energy</w:t>
      </w:r>
      <w:r w:rsidRPr="008F78FE">
        <w:rPr>
          <w:rFonts w:ascii="Times New Roman" w:hAnsi="Times New Roman" w:cs="Times New Roman"/>
        </w:rPr>
        <w:t xml:space="preserve">, </w:t>
      </w:r>
      <w:r w:rsidRPr="008F78FE">
        <w:rPr>
          <w:rFonts w:ascii="Times New Roman" w:hAnsi="Times New Roman" w:cs="Times New Roman"/>
          <w:i/>
          <w:iCs/>
        </w:rPr>
        <w:t>320</w:t>
      </w:r>
      <w:r w:rsidRPr="008F78FE">
        <w:rPr>
          <w:rFonts w:ascii="Times New Roman" w:hAnsi="Times New Roman" w:cs="Times New Roman"/>
        </w:rPr>
        <w:t>, 135261. https://doi.org/10.1016/j.energy.2025.135261</w:t>
      </w:r>
    </w:p>
    <w:p w14:paraId="6700E536" w14:textId="77777777" w:rsidR="003B78DF" w:rsidRPr="00A85711" w:rsidRDefault="003B78DF" w:rsidP="003B78DF">
      <w:pPr>
        <w:pStyle w:val="Bibliography"/>
        <w:spacing w:after="0" w:line="240" w:lineRule="auto"/>
        <w:ind w:left="720" w:hanging="720"/>
        <w:jc w:val="both"/>
        <w:rPr>
          <w:rFonts w:ascii="Times New Roman" w:hAnsi="Times New Roman" w:cs="Times New Roman"/>
        </w:rPr>
      </w:pPr>
      <w:r w:rsidRPr="00A85711">
        <w:rPr>
          <w:rFonts w:ascii="Times New Roman" w:hAnsi="Times New Roman" w:cs="Times New Roman"/>
        </w:rPr>
        <w:t xml:space="preserve">Yeboah-Assiamah, E., Muller, K., &amp; Domfeh, K. A. (2019). Two Sides of the Same Coin: Formal and Informal Institutional Synergy in a Case Study of Wildlife Governance in Ghana. </w:t>
      </w:r>
      <w:r w:rsidRPr="00A85711">
        <w:rPr>
          <w:rFonts w:ascii="Times New Roman" w:hAnsi="Times New Roman" w:cs="Times New Roman"/>
          <w:i/>
          <w:iCs/>
        </w:rPr>
        <w:t>Society &amp; Natural Resources</w:t>
      </w:r>
      <w:r w:rsidRPr="00A85711">
        <w:rPr>
          <w:rFonts w:ascii="Times New Roman" w:hAnsi="Times New Roman" w:cs="Times New Roman"/>
        </w:rPr>
        <w:t xml:space="preserve">, </w:t>
      </w:r>
      <w:r w:rsidRPr="00A85711">
        <w:rPr>
          <w:rFonts w:ascii="Times New Roman" w:hAnsi="Times New Roman" w:cs="Times New Roman"/>
          <w:i/>
          <w:iCs/>
        </w:rPr>
        <w:t>32</w:t>
      </w:r>
      <w:r w:rsidRPr="00A85711">
        <w:rPr>
          <w:rFonts w:ascii="Times New Roman" w:hAnsi="Times New Roman" w:cs="Times New Roman"/>
        </w:rPr>
        <w:t>(12), 1364–1382. https://doi.org/10.1080/08941920.2019.1647320</w:t>
      </w:r>
    </w:p>
    <w:p w14:paraId="70AF5080" w14:textId="28663B7C" w:rsidR="00FB4D95" w:rsidRDefault="003B78DF" w:rsidP="003B78DF">
      <w:pPr>
        <w:spacing w:after="0" w:line="240" w:lineRule="auto"/>
        <w:ind w:left="720" w:hanging="720"/>
        <w:jc w:val="both"/>
        <w:rPr>
          <w:rFonts w:ascii="Times New Roman" w:eastAsia="Times New Roman" w:hAnsi="Times New Roman" w:cs="Times New Roman"/>
        </w:rPr>
      </w:pPr>
      <w:r>
        <w:rPr>
          <w:rFonts w:ascii="Times New Roman" w:eastAsia="Times New Roman" w:hAnsi="Times New Roman" w:cs="Times New Roman"/>
        </w:rPr>
        <w:fldChar w:fldCharType="end"/>
      </w:r>
    </w:p>
    <w:p w14:paraId="297097CF" w14:textId="77777777" w:rsidR="00FB4D95" w:rsidRDefault="00FB4D95" w:rsidP="003B78DF">
      <w:pPr>
        <w:spacing w:after="200" w:line="240" w:lineRule="auto"/>
        <w:jc w:val="both"/>
        <w:rPr>
          <w:rFonts w:ascii="Times New Roman" w:eastAsia="Times New Roman" w:hAnsi="Times New Roman" w:cs="Times New Roman"/>
        </w:rPr>
      </w:pPr>
    </w:p>
    <w:sectPr w:rsidR="00FB4D95" w:rsidSect="005D74C7">
      <w:type w:val="continuous"/>
      <w:pgSz w:w="11906" w:h="16838"/>
      <w:pgMar w:top="1134" w:right="1701" w:bottom="1134" w:left="1701" w:header="709" w:footer="709" w:gutter="0"/>
      <w:pgNumType w:start="305"/>
      <w:cols w:num="2" w:space="720" w:equalWidth="0">
        <w:col w:w="3897" w:space="708"/>
        <w:col w:w="389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D1928" w14:textId="77777777" w:rsidR="00DC3DE3" w:rsidRDefault="00DC3DE3">
      <w:pPr>
        <w:spacing w:after="0" w:line="240" w:lineRule="auto"/>
      </w:pPr>
      <w:r>
        <w:separator/>
      </w:r>
    </w:p>
  </w:endnote>
  <w:endnote w:type="continuationSeparator" w:id="0">
    <w:p w14:paraId="1C867F6E" w14:textId="77777777" w:rsidR="00DC3DE3" w:rsidRDefault="00DC3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908D028-300C-4DD2-8D1E-A57BF9EFC00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3BD9BEF-6F3B-4372-BC0D-E26EE3885F8C}"/>
    <w:embedBold r:id="rId3" w:fontKey="{32BAD272-E592-4277-816A-CF0860AC9D5A}"/>
    <w:embedItalic r:id="rId4" w:fontKey="{64F41433-B8D5-40C8-AD24-C083825AE3DA}"/>
    <w:embedBoldItalic r:id="rId5" w:fontKey="{D133662B-822B-485D-A26A-9FC9029F197B}"/>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64A6CB49-96F8-4B4A-9A72-2CC764B8C6FD}"/>
  </w:font>
  <w:font w:name="Century Schoolbook">
    <w:panose1 w:val="02040604050505020304"/>
    <w:charset w:val="00"/>
    <w:family w:val="roman"/>
    <w:pitch w:val="variable"/>
    <w:sig w:usb0="00000287" w:usb1="00000000" w:usb2="00000000" w:usb3="00000000" w:csb0="0000009F" w:csb1="00000000"/>
    <w:embedRegular r:id="rId7" w:fontKey="{07DDF8BA-79C5-473A-BBFC-DF007E31029E}"/>
  </w:font>
  <w:font w:name="Georgia">
    <w:panose1 w:val="02040502050405020303"/>
    <w:charset w:val="00"/>
    <w:family w:val="roman"/>
    <w:pitch w:val="variable"/>
    <w:sig w:usb0="00000287" w:usb1="00000000" w:usb2="00000000" w:usb3="00000000" w:csb0="0000009F" w:csb1="00000000"/>
    <w:embedRegular r:id="rId8" w:fontKey="{1F11167B-53AF-4749-830E-7E7913C9047B}"/>
    <w:embedItalic r:id="rId9" w:fontKey="{271932F1-3649-4CC0-8437-D9019BE1D3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C95E" w14:textId="75246CD7" w:rsidR="00FB4D95" w:rsidRDefault="00000000">
    <w:pPr>
      <w:pBdr>
        <w:top w:val="nil"/>
        <w:left w:val="nil"/>
        <w:bottom w:val="nil"/>
        <w:right w:val="nil"/>
        <w:between w:val="nil"/>
      </w:pBdr>
      <w:tabs>
        <w:tab w:val="center" w:pos="4513"/>
        <w:tab w:val="right" w:pos="9026"/>
      </w:tabs>
      <w:spacing w:after="0" w:line="240" w:lineRule="auto"/>
      <w:ind w:left="1440"/>
      <w:rPr>
        <w:rFonts w:ascii="Times New Roman" w:eastAsia="Times New Roman" w:hAnsi="Times New Roman" w:cs="Times New Roman"/>
        <w:color w:val="974705"/>
        <w:sz w:val="16"/>
        <w:szCs w:val="16"/>
      </w:rPr>
    </w:pPr>
    <w:r>
      <w:rPr>
        <w:rFonts w:ascii="Times New Roman" w:eastAsia="Times New Roman" w:hAnsi="Times New Roman" w:cs="Times New Roman"/>
        <w:color w:val="974705"/>
        <w:sz w:val="16"/>
        <w:szCs w:val="16"/>
      </w:rPr>
      <w:t xml:space="preserve">                                                      </w:t>
    </w:r>
    <w:r>
      <w:rPr>
        <w:rFonts w:ascii="Times New Roman" w:eastAsia="Times New Roman" w:hAnsi="Times New Roman" w:cs="Times New Roman"/>
        <w:color w:val="974705"/>
        <w:sz w:val="16"/>
        <w:szCs w:val="16"/>
      </w:rPr>
      <w:br/>
      <w:t xml:space="preserve">               </w:t>
    </w:r>
    <w:r>
      <w:rPr>
        <w:rFonts w:ascii="Times New Roman" w:eastAsia="Times New Roman" w:hAnsi="Times New Roman" w:cs="Times New Roman"/>
        <w:color w:val="974705"/>
        <w:sz w:val="16"/>
        <w:szCs w:val="16"/>
      </w:rPr>
      <w:fldChar w:fldCharType="begin"/>
    </w:r>
    <w:r>
      <w:rPr>
        <w:rFonts w:ascii="Times New Roman" w:eastAsia="Times New Roman" w:hAnsi="Times New Roman" w:cs="Times New Roman"/>
        <w:color w:val="974705"/>
        <w:sz w:val="16"/>
        <w:szCs w:val="16"/>
      </w:rPr>
      <w:instrText>PAGE</w:instrText>
    </w:r>
    <w:r>
      <w:rPr>
        <w:rFonts w:ascii="Times New Roman" w:eastAsia="Times New Roman" w:hAnsi="Times New Roman" w:cs="Times New Roman"/>
        <w:color w:val="974705"/>
        <w:sz w:val="16"/>
        <w:szCs w:val="16"/>
      </w:rPr>
      <w:fldChar w:fldCharType="separate"/>
    </w:r>
    <w:r w:rsidR="00BE412A">
      <w:rPr>
        <w:rFonts w:ascii="Times New Roman" w:eastAsia="Times New Roman" w:hAnsi="Times New Roman" w:cs="Times New Roman"/>
        <w:noProof/>
        <w:color w:val="974705"/>
        <w:sz w:val="16"/>
        <w:szCs w:val="16"/>
      </w:rPr>
      <w:t>2</w:t>
    </w:r>
    <w:r>
      <w:rPr>
        <w:rFonts w:ascii="Times New Roman" w:eastAsia="Times New Roman" w:hAnsi="Times New Roman" w:cs="Times New Roman"/>
        <w:color w:val="974705"/>
        <w:sz w:val="16"/>
        <w:szCs w:val="16"/>
      </w:rPr>
      <w:fldChar w:fldCharType="end"/>
    </w:r>
    <w:r>
      <w:rPr>
        <w:rFonts w:ascii="Times New Roman" w:eastAsia="Times New Roman" w:hAnsi="Times New Roman" w:cs="Times New Roman"/>
        <w:color w:val="974705"/>
        <w:sz w:val="16"/>
        <w:szCs w:val="16"/>
      </w:rPr>
      <w:tab/>
      <w:t xml:space="preserve"> </w:t>
    </w:r>
    <w:r w:rsidR="008B2D76">
      <w:rPr>
        <w:rFonts w:ascii="Times New Roman" w:eastAsia="Times New Roman" w:hAnsi="Times New Roman" w:cs="Times New Roman"/>
        <w:color w:val="974705"/>
        <w:sz w:val="16"/>
        <w:szCs w:val="16"/>
      </w:rPr>
      <w:t xml:space="preserve">                                                </w:t>
    </w:r>
    <w:r>
      <w:rPr>
        <w:rFonts w:ascii="Times New Roman" w:eastAsia="Times New Roman" w:hAnsi="Times New Roman" w:cs="Times New Roman"/>
        <w:color w:val="974705"/>
        <w:sz w:val="16"/>
        <w:szCs w:val="16"/>
      </w:rPr>
      <w:t>Jurnal Sosial Humaniora (</w:t>
    </w:r>
    <w:proofErr w:type="spellStart"/>
    <w:r>
      <w:rPr>
        <w:rFonts w:ascii="Times New Roman" w:eastAsia="Times New Roman" w:hAnsi="Times New Roman" w:cs="Times New Roman"/>
        <w:color w:val="974705"/>
        <w:sz w:val="16"/>
        <w:szCs w:val="16"/>
      </w:rPr>
      <w:t>Silatene</w:t>
    </w:r>
    <w:proofErr w:type="spellEnd"/>
    <w:r>
      <w:rPr>
        <w:rFonts w:ascii="Times New Roman" w:eastAsia="Times New Roman" w:hAnsi="Times New Roman" w:cs="Times New Roman"/>
        <w:color w:val="974705"/>
        <w:sz w:val="16"/>
        <w:szCs w:val="16"/>
      </w:rPr>
      <w:t xml:space="preserve">), </w:t>
    </w:r>
    <w:r w:rsidR="008B2D76">
      <w:rPr>
        <w:rFonts w:ascii="Times New Roman" w:eastAsia="Times New Roman" w:hAnsi="Times New Roman" w:cs="Times New Roman"/>
        <w:color w:val="974705"/>
        <w:sz w:val="16"/>
        <w:szCs w:val="16"/>
      </w:rPr>
      <w:t>September</w:t>
    </w:r>
    <w:r>
      <w:rPr>
        <w:rFonts w:ascii="Times New Roman" w:eastAsia="Times New Roman" w:hAnsi="Times New Roman" w:cs="Times New Roman"/>
        <w:color w:val="974705"/>
        <w:sz w:val="16"/>
        <w:szCs w:val="16"/>
      </w:rPr>
      <w:t xml:space="preserve"> 202</w:t>
    </w:r>
    <w:r w:rsidR="008B2D76">
      <w:rPr>
        <w:rFonts w:ascii="Times New Roman" w:eastAsia="Times New Roman" w:hAnsi="Times New Roman" w:cs="Times New Roman"/>
        <w:color w:val="974705"/>
        <w:sz w:val="16"/>
        <w:szCs w:val="16"/>
      </w:rPr>
      <w:t>6</w:t>
    </w:r>
    <w:r>
      <w:rPr>
        <w:rFonts w:ascii="Times New Roman" w:eastAsia="Times New Roman" w:hAnsi="Times New Roman" w:cs="Times New Roman"/>
        <w:color w:val="974705"/>
        <w:sz w:val="16"/>
        <w:szCs w:val="16"/>
      </w:rPr>
      <w:t xml:space="preserve">, Vol. </w:t>
    </w:r>
    <w:r w:rsidR="008B2D76">
      <w:rPr>
        <w:rFonts w:ascii="Times New Roman" w:eastAsia="Times New Roman" w:hAnsi="Times New Roman" w:cs="Times New Roman"/>
        <w:color w:val="974705"/>
        <w:sz w:val="16"/>
        <w:szCs w:val="16"/>
      </w:rPr>
      <w:t>4</w:t>
    </w:r>
    <w:r>
      <w:rPr>
        <w:rFonts w:ascii="Times New Roman" w:eastAsia="Times New Roman" w:hAnsi="Times New Roman" w:cs="Times New Roman"/>
        <w:color w:val="974705"/>
        <w:sz w:val="16"/>
        <w:szCs w:val="16"/>
      </w:rPr>
      <w:t xml:space="preserve"> No. </w:t>
    </w:r>
    <w:r w:rsidR="008B2D76">
      <w:rPr>
        <w:rFonts w:ascii="Times New Roman" w:eastAsia="Times New Roman" w:hAnsi="Times New Roman" w:cs="Times New Roman"/>
        <w:color w:val="974705"/>
        <w:sz w:val="16"/>
        <w:szCs w:val="16"/>
      </w:rPr>
      <w:t>2</w:t>
    </w:r>
  </w:p>
  <w:p w14:paraId="75EEF9B4" w14:textId="77777777" w:rsidR="00FB4D95" w:rsidRDefault="00FB4D95">
    <w:pPr>
      <w:spacing w:after="0" w:line="240" w:lineRule="auto"/>
      <w:rPr>
        <w:rFonts w:ascii="Times New Roman" w:eastAsia="Times New Roman" w:hAnsi="Times New Roman" w:cs="Times New Roman"/>
        <w:color w:val="974705"/>
        <w:sz w:val="16"/>
        <w:szCs w:val="16"/>
        <w:vertAlign w:val="superscrip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BFB5" w14:textId="77777777" w:rsidR="00FB4D95" w:rsidRPr="00F828EB" w:rsidRDefault="00000000" w:rsidP="00F828EB">
    <w:pPr>
      <w:ind w:right="4364"/>
      <w:jc w:val="right"/>
      <w:rPr>
        <w:color w:val="7F3F00"/>
        <w:sz w:val="24"/>
        <w:szCs w:val="24"/>
        <w:vertAlign w:val="superscript"/>
      </w:rPr>
    </w:pPr>
    <w:r w:rsidRPr="00F828EB">
      <w:rPr>
        <w:color w:val="7F3F00"/>
        <w:sz w:val="24"/>
        <w:szCs w:val="24"/>
        <w:vertAlign w:val="superscript"/>
      </w:rPr>
      <w:fldChar w:fldCharType="begin"/>
    </w:r>
    <w:r w:rsidRPr="00F828EB">
      <w:rPr>
        <w:color w:val="7F3F00"/>
        <w:sz w:val="24"/>
        <w:szCs w:val="24"/>
        <w:vertAlign w:val="superscript"/>
      </w:rPr>
      <w:instrText>PAGE</w:instrText>
    </w:r>
    <w:r w:rsidRPr="00F828EB">
      <w:rPr>
        <w:color w:val="7F3F00"/>
        <w:sz w:val="24"/>
        <w:szCs w:val="24"/>
        <w:vertAlign w:val="superscript"/>
      </w:rPr>
      <w:fldChar w:fldCharType="separate"/>
    </w:r>
    <w:r w:rsidR="00BE412A" w:rsidRPr="00F828EB">
      <w:rPr>
        <w:noProof/>
        <w:color w:val="7F3F00"/>
        <w:sz w:val="24"/>
        <w:szCs w:val="24"/>
        <w:vertAlign w:val="superscript"/>
      </w:rPr>
      <w:t>1</w:t>
    </w:r>
    <w:r w:rsidRPr="00F828EB">
      <w:rPr>
        <w:color w:val="7F3F00"/>
        <w:sz w:val="24"/>
        <w:szCs w:val="24"/>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573C1" w14:textId="77777777" w:rsidR="00DC3DE3" w:rsidRDefault="00DC3DE3">
      <w:pPr>
        <w:spacing w:after="0" w:line="240" w:lineRule="auto"/>
      </w:pPr>
      <w:r>
        <w:separator/>
      </w:r>
    </w:p>
  </w:footnote>
  <w:footnote w:type="continuationSeparator" w:id="0">
    <w:p w14:paraId="66F26BF2" w14:textId="77777777" w:rsidR="00DC3DE3" w:rsidRDefault="00DC3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545E" w14:textId="252909C4" w:rsidR="00FB4D95" w:rsidRPr="008B2D76" w:rsidRDefault="008B2D76" w:rsidP="008B2D76">
    <w:pPr>
      <w:pStyle w:val="Header"/>
      <w:jc w:val="center"/>
    </w:pPr>
    <w:r w:rsidRPr="008B2D76">
      <w:rPr>
        <w:rFonts w:ascii="Times New Roman" w:eastAsia="Times New Roman" w:hAnsi="Times New Roman" w:cs="Times New Roman"/>
        <w:color w:val="974705"/>
        <w:sz w:val="16"/>
        <w:szCs w:val="16"/>
      </w:rPr>
      <w:t>Dari Nilai Budaya Ke Tata Kelola: Institusi Informal dan Ketahanan Energi di Melayu Riau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34F3"/>
    <w:multiLevelType w:val="multilevel"/>
    <w:tmpl w:val="237481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91134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D95"/>
    <w:rsid w:val="00084FED"/>
    <w:rsid w:val="00112BD0"/>
    <w:rsid w:val="001303AC"/>
    <w:rsid w:val="001656F3"/>
    <w:rsid w:val="00190E96"/>
    <w:rsid w:val="00200ABD"/>
    <w:rsid w:val="002D1B6C"/>
    <w:rsid w:val="00304E4E"/>
    <w:rsid w:val="003B78DF"/>
    <w:rsid w:val="004A4B3A"/>
    <w:rsid w:val="00516585"/>
    <w:rsid w:val="005D74C7"/>
    <w:rsid w:val="006136D9"/>
    <w:rsid w:val="007033AF"/>
    <w:rsid w:val="007C4A17"/>
    <w:rsid w:val="007F0248"/>
    <w:rsid w:val="008B2D76"/>
    <w:rsid w:val="00975666"/>
    <w:rsid w:val="00975F8F"/>
    <w:rsid w:val="009D0998"/>
    <w:rsid w:val="00A1117B"/>
    <w:rsid w:val="00A940D5"/>
    <w:rsid w:val="00AE6D86"/>
    <w:rsid w:val="00BA270B"/>
    <w:rsid w:val="00BE412A"/>
    <w:rsid w:val="00C14698"/>
    <w:rsid w:val="00C31A83"/>
    <w:rsid w:val="00C82D19"/>
    <w:rsid w:val="00C846A5"/>
    <w:rsid w:val="00D769F4"/>
    <w:rsid w:val="00DC3DE3"/>
    <w:rsid w:val="00E8567B"/>
    <w:rsid w:val="00F828EB"/>
    <w:rsid w:val="00FB4D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B49C1"/>
  <w15:docId w15:val="{935B8F87-E23D-480D-A298-9255B78D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aliases w:val="bodytext"/>
    <w:basedOn w:val="Normal"/>
    <w:next w:val="Normal"/>
    <w:link w:val="Heading4Char"/>
    <w:uiPriority w:val="9"/>
    <w:semiHidden/>
    <w:unhideWhenUsed/>
    <w:qFormat/>
    <w:rsid w:val="00782ADD"/>
    <w:pPr>
      <w:spacing w:before="120" w:after="120" w:line="360" w:lineRule="auto"/>
      <w:jc w:val="both"/>
      <w:outlineLvl w:val="3"/>
    </w:pPr>
    <w:rPr>
      <w:rFonts w:ascii="Times New Roman" w:eastAsiaTheme="majorEastAsia" w:hAnsi="Times New Roman"/>
      <w:bCs/>
      <w:iCs/>
      <w:sz w:val="24"/>
      <w:szCs w:val="24"/>
      <w:lang w:val="en-US"/>
    </w:rPr>
  </w:style>
  <w:style w:type="paragraph" w:styleId="Heading5">
    <w:name w:val="heading 5"/>
    <w:basedOn w:val="Normal"/>
    <w:next w:val="Normal"/>
    <w:link w:val="Heading5Char"/>
    <w:uiPriority w:val="9"/>
    <w:semiHidden/>
    <w:unhideWhenUsed/>
    <w:qFormat/>
    <w:rsid w:val="0076388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link w:val="TitleChar"/>
    <w:uiPriority w:val="10"/>
    <w:qFormat/>
    <w:rsid w:val="0075110F"/>
    <w:pPr>
      <w:widowControl w:val="0"/>
      <w:autoSpaceDE w:val="0"/>
      <w:autoSpaceDN w:val="0"/>
      <w:spacing w:after="0" w:line="240" w:lineRule="auto"/>
      <w:ind w:left="167"/>
    </w:pPr>
    <w:rPr>
      <w:rFonts w:ascii="Times New Roman" w:eastAsia="Times New Roman" w:hAnsi="Times New Roman"/>
      <w:b/>
      <w:bCs/>
      <w:sz w:val="28"/>
      <w:szCs w:val="28"/>
      <w:lang w:val="en-US"/>
    </w:rPr>
  </w:style>
  <w:style w:type="paragraph" w:styleId="FootnoteText">
    <w:name w:val="footnote text"/>
    <w:basedOn w:val="Normal"/>
    <w:link w:val="FootnoteTextChar"/>
    <w:uiPriority w:val="99"/>
    <w:semiHidden/>
    <w:unhideWhenUsed/>
    <w:rsid w:val="008F3C90"/>
    <w:pPr>
      <w:spacing w:after="0" w:line="240" w:lineRule="auto"/>
    </w:pPr>
    <w:rPr>
      <w:sz w:val="20"/>
      <w:szCs w:val="20"/>
    </w:rPr>
  </w:style>
  <w:style w:type="character" w:customStyle="1" w:styleId="FootnoteTextChar">
    <w:name w:val="Footnote Text Char"/>
    <w:link w:val="FootnoteText"/>
    <w:uiPriority w:val="99"/>
    <w:semiHidden/>
    <w:rsid w:val="008F3C90"/>
    <w:rPr>
      <w:sz w:val="20"/>
      <w:szCs w:val="20"/>
    </w:rPr>
  </w:style>
  <w:style w:type="character" w:styleId="FootnoteReference">
    <w:name w:val="footnote reference"/>
    <w:uiPriority w:val="99"/>
    <w:semiHidden/>
    <w:unhideWhenUsed/>
    <w:rsid w:val="008F3C90"/>
    <w:rPr>
      <w:vertAlign w:val="superscript"/>
    </w:rPr>
  </w:style>
  <w:style w:type="paragraph" w:styleId="Header">
    <w:name w:val="header"/>
    <w:basedOn w:val="Normal"/>
    <w:link w:val="HeaderChar"/>
    <w:uiPriority w:val="99"/>
    <w:unhideWhenUsed/>
    <w:rsid w:val="000E5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5C38"/>
  </w:style>
  <w:style w:type="paragraph" w:styleId="Footer">
    <w:name w:val="footer"/>
    <w:basedOn w:val="Normal"/>
    <w:link w:val="FooterChar"/>
    <w:uiPriority w:val="99"/>
    <w:unhideWhenUsed/>
    <w:rsid w:val="000E5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5C38"/>
  </w:style>
  <w:style w:type="paragraph" w:styleId="ListParagraph">
    <w:name w:val="List Paragraph"/>
    <w:basedOn w:val="Normal"/>
    <w:uiPriority w:val="34"/>
    <w:qFormat/>
    <w:rsid w:val="000D2ED3"/>
    <w:pPr>
      <w:ind w:left="720"/>
      <w:contextualSpacing/>
    </w:pPr>
  </w:style>
  <w:style w:type="character" w:styleId="Hyperlink">
    <w:name w:val="Hyperlink"/>
    <w:uiPriority w:val="99"/>
    <w:unhideWhenUsed/>
    <w:rsid w:val="000D2ED3"/>
    <w:rPr>
      <w:color w:val="0000FF"/>
      <w:u w:val="single"/>
    </w:rPr>
  </w:style>
  <w:style w:type="character" w:styleId="Strong">
    <w:name w:val="Strong"/>
    <w:uiPriority w:val="22"/>
    <w:qFormat/>
    <w:rsid w:val="00667895"/>
    <w:rPr>
      <w:b/>
      <w:bCs/>
    </w:rPr>
  </w:style>
  <w:style w:type="character" w:styleId="Emphasis">
    <w:name w:val="Emphasis"/>
    <w:uiPriority w:val="20"/>
    <w:qFormat/>
    <w:rsid w:val="00667895"/>
    <w:rPr>
      <w:i/>
      <w:iCs/>
    </w:rPr>
  </w:style>
  <w:style w:type="paragraph" w:styleId="NormalWeb">
    <w:name w:val="Normal (Web)"/>
    <w:basedOn w:val="Normal"/>
    <w:uiPriority w:val="99"/>
    <w:unhideWhenUsed/>
    <w:rsid w:val="0066789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pple-converted-space">
    <w:name w:val="apple-converted-space"/>
    <w:rsid w:val="00F50B72"/>
  </w:style>
  <w:style w:type="paragraph" w:customStyle="1" w:styleId="Refbcrec">
    <w:name w:val="Ref bcrec"/>
    <w:basedOn w:val="Normal"/>
    <w:rsid w:val="00F50B72"/>
    <w:pPr>
      <w:spacing w:before="40" w:after="80" w:line="240" w:lineRule="auto"/>
      <w:ind w:left="567" w:hanging="567"/>
      <w:jc w:val="both"/>
    </w:pPr>
    <w:rPr>
      <w:rFonts w:ascii="Century Schoolbook" w:eastAsia="Times New Roman" w:hAnsi="Century Schoolbook"/>
      <w:color w:val="000000"/>
      <w:kern w:val="28"/>
      <w:sz w:val="18"/>
      <w:szCs w:val="18"/>
      <w:lang w:val="en-US"/>
    </w:rPr>
  </w:style>
  <w:style w:type="character" w:styleId="CommentReference">
    <w:name w:val="annotation reference"/>
    <w:uiPriority w:val="99"/>
    <w:semiHidden/>
    <w:unhideWhenUsed/>
    <w:rsid w:val="004639CA"/>
    <w:rPr>
      <w:sz w:val="16"/>
      <w:szCs w:val="16"/>
    </w:rPr>
  </w:style>
  <w:style w:type="character" w:customStyle="1" w:styleId="UnresolvedMention1">
    <w:name w:val="Unresolved Mention1"/>
    <w:basedOn w:val="DefaultParagraphFont"/>
    <w:uiPriority w:val="99"/>
    <w:semiHidden/>
    <w:unhideWhenUsed/>
    <w:rsid w:val="00422FA1"/>
    <w:rPr>
      <w:color w:val="605E5C"/>
      <w:shd w:val="clear" w:color="auto" w:fill="E1DFDD"/>
    </w:rPr>
  </w:style>
  <w:style w:type="paragraph" w:styleId="BodyText">
    <w:name w:val="Body Text"/>
    <w:basedOn w:val="Normal"/>
    <w:link w:val="BodyTextChar"/>
    <w:uiPriority w:val="1"/>
    <w:qFormat/>
    <w:rsid w:val="0075110F"/>
    <w:pPr>
      <w:widowControl w:val="0"/>
      <w:autoSpaceDE w:val="0"/>
      <w:autoSpaceDN w:val="0"/>
      <w:spacing w:after="0" w:line="240" w:lineRule="auto"/>
      <w:ind w:left="1"/>
      <w:jc w:val="both"/>
    </w:pPr>
    <w:rPr>
      <w:rFonts w:ascii="Times New Roman" w:eastAsia="Times New Roman" w:hAnsi="Times New Roman"/>
      <w:lang w:val="en-US"/>
    </w:rPr>
  </w:style>
  <w:style w:type="character" w:customStyle="1" w:styleId="BodyTextChar">
    <w:name w:val="Body Text Char"/>
    <w:basedOn w:val="DefaultParagraphFont"/>
    <w:link w:val="BodyText"/>
    <w:uiPriority w:val="1"/>
    <w:rsid w:val="0075110F"/>
    <w:rPr>
      <w:rFonts w:ascii="Times New Roman" w:eastAsia="Times New Roman" w:hAnsi="Times New Roman"/>
      <w:sz w:val="22"/>
      <w:szCs w:val="22"/>
      <w:lang w:val="en-US" w:eastAsia="en-US"/>
    </w:rPr>
  </w:style>
  <w:style w:type="character" w:customStyle="1" w:styleId="TitleChar">
    <w:name w:val="Title Char"/>
    <w:basedOn w:val="DefaultParagraphFont"/>
    <w:link w:val="Title"/>
    <w:uiPriority w:val="10"/>
    <w:rsid w:val="0075110F"/>
    <w:rPr>
      <w:rFonts w:ascii="Times New Roman" w:eastAsia="Times New Roman" w:hAnsi="Times New Roman"/>
      <w:b/>
      <w:bCs/>
      <w:sz w:val="28"/>
      <w:szCs w:val="28"/>
      <w:lang w:val="en-US" w:eastAsia="en-US"/>
    </w:rPr>
  </w:style>
  <w:style w:type="paragraph" w:customStyle="1" w:styleId="TableParagraph">
    <w:name w:val="Table Paragraph"/>
    <w:basedOn w:val="Normal"/>
    <w:uiPriority w:val="1"/>
    <w:qFormat/>
    <w:rsid w:val="0075110F"/>
    <w:pPr>
      <w:widowControl w:val="0"/>
      <w:autoSpaceDE w:val="0"/>
      <w:autoSpaceDN w:val="0"/>
      <w:spacing w:after="0" w:line="240" w:lineRule="auto"/>
      <w:ind w:left="248"/>
    </w:pPr>
    <w:rPr>
      <w:rFonts w:ascii="Times New Roman" w:eastAsia="Times New Roman" w:hAnsi="Times New Roman"/>
      <w:lang w:val="en-US"/>
    </w:rPr>
  </w:style>
  <w:style w:type="character" w:customStyle="1" w:styleId="Heading4Char">
    <w:name w:val="Heading 4 Char"/>
    <w:aliases w:val="bodytext Char"/>
    <w:basedOn w:val="DefaultParagraphFont"/>
    <w:link w:val="Heading4"/>
    <w:uiPriority w:val="9"/>
    <w:rsid w:val="00782ADD"/>
    <w:rPr>
      <w:rFonts w:ascii="Times New Roman" w:eastAsiaTheme="majorEastAsia" w:hAnsi="Times New Roman"/>
      <w:bCs/>
      <w:iCs/>
      <w:sz w:val="24"/>
      <w:szCs w:val="24"/>
      <w:lang w:val="en-US" w:eastAsia="en-US"/>
    </w:rPr>
  </w:style>
  <w:style w:type="character" w:customStyle="1" w:styleId="Heading5Char">
    <w:name w:val="Heading 5 Char"/>
    <w:basedOn w:val="DefaultParagraphFont"/>
    <w:link w:val="Heading5"/>
    <w:uiPriority w:val="9"/>
    <w:semiHidden/>
    <w:rsid w:val="00763888"/>
    <w:rPr>
      <w:rFonts w:asciiTheme="majorHAnsi" w:eastAsiaTheme="majorEastAsia" w:hAnsiTheme="majorHAnsi" w:cstheme="majorBidi"/>
      <w:color w:val="2F5496" w:themeColor="accent1" w:themeShade="BF"/>
      <w:sz w:val="22"/>
      <w:szCs w:val="22"/>
      <w:lang w:eastAsia="en-US"/>
    </w:rPr>
  </w:style>
  <w:style w:type="character" w:styleId="UnresolvedMention">
    <w:name w:val="Unresolved Mention"/>
    <w:basedOn w:val="DefaultParagraphFont"/>
    <w:uiPriority w:val="99"/>
    <w:semiHidden/>
    <w:unhideWhenUsed/>
    <w:rsid w:val="00827138"/>
    <w:rPr>
      <w:color w:val="605E5C"/>
      <w:shd w:val="clear" w:color="auto" w:fill="E1DFDD"/>
    </w:rPr>
  </w:style>
  <w:style w:type="character" w:styleId="PlaceholderText">
    <w:name w:val="Placeholder Text"/>
    <w:basedOn w:val="DefaultParagraphFont"/>
    <w:uiPriority w:val="99"/>
    <w:semiHidden/>
    <w:rsid w:val="00F97056"/>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styleId="TableGrid">
    <w:name w:val="Table Grid"/>
    <w:basedOn w:val="TableNormal"/>
    <w:uiPriority w:val="39"/>
    <w:rsid w:val="00BE412A"/>
    <w:pPr>
      <w:spacing w:after="0" w:line="240" w:lineRule="auto"/>
    </w:pPr>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3B78DF"/>
    <w:pPr>
      <w:widowControl w:val="0"/>
      <w:spacing w:after="200" w:line="276" w:lineRule="auto"/>
    </w:pPr>
    <w:rPr>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5575/jpib.v7i2.33272"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zsgJWYM0HIrrvn3FisJtG4AZQ==">CgMxLjAyCGguZ2pkZ3hzOAByITEyVXJHQnc4WDB4TnJhZldZRFJiOFQzRkdsQTlXMlZrYw==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16</Pages>
  <Words>15234</Words>
  <Characters>86835</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IGPA</dc:creator>
  <cp:lastModifiedBy>User</cp:lastModifiedBy>
  <cp:revision>44</cp:revision>
  <cp:lastPrinted>2026-10-03T08:24:00Z</cp:lastPrinted>
  <dcterms:created xsi:type="dcterms:W3CDTF">2025-02-27T09:59:00Z</dcterms:created>
  <dcterms:modified xsi:type="dcterms:W3CDTF">2026-10-05T15:45:00Z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0a368d18-f155-3049-b5dd-6c21cb6b5712</vt:lpwstr>
  </property>
  <property fmtid="{D5CDD505-2E9C-101B-9397-08002B2CF9AE}" pid="4" name="Mendeley Citation Style_1">
    <vt:lpwstr>http://www.zotero.org/styles/ieee</vt:lpwstr>
  </property>
</Properties>
</file>